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jc w:val="center"/>
      </w:pPr>
      <w:r>
        <w:rPr>
          <w:rFonts w:ascii="Arial" w:cs="Arial" w:eastAsia="Arial" w:hAnsi="Arial"/>
          <w:b/>
          <w:bCs/>
          <w:color w:val="1B365D"/>
          <w:sz w:val="48"/>
          <w:szCs w:val="48"/>
        </w:rPr>
        <w:t xml:space="preserve">E-FACTURA B2C ÎN 2026</w:t>
      </w:r>
    </w:p>
    <w:p>
      <w:pPr>
        <w:spacing w:after="400"/>
        <w:jc w:val="center"/>
      </w:pPr>
      <w:r>
        <w:rPr>
          <w:rFonts w:ascii="Arial" w:cs="Arial" w:eastAsia="Arial" w:hAnsi="Arial"/>
          <w:i/>
          <w:iCs/>
          <w:sz w:val="26"/>
          <w:szCs w:val="26"/>
        </w:rPr>
        <w:t xml:space="preserve">Ghid Complet: Obligații, Termene, Sancțiuni și Proceduri pentru Facturarea către Persoane Fizice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E0E0E0" w:val="clear"/>
            <w:tcMar>
              <w:top w:type="dxa" w:w="100"/>
              <w:left w:type="dxa" w:w="150"/>
              <w:bottom w:type="dxa" w:w="100"/>
              <w:right w:type="dxa" w:w="150"/>
            </w:tcMar>
          </w:tcPr>
          <w:p>
            <w:r>
              <w:rPr>
                <w:rFonts w:ascii="Arial" w:cs="Arial" w:eastAsia="Arial" w:hAnsi="Arial"/>
                <w:sz w:val="20"/>
                <w:szCs w:val="20"/>
              </w:rPr>
              <w:t xml:space="preserve">Actualizat: Ianuarie 2026 (include OUG 89/2025) | </w:t>
            </w:r>
            <w:r>
              <w:rPr>
                <w:rFonts w:ascii="Arial" w:cs="Arial" w:eastAsia="Arial" w:hAnsi="Arial"/>
                <w:sz w:val="20"/>
                <w:szCs w:val="20"/>
              </w:rPr>
              <w:t xml:space="preserve">Autor: Rikhard Pantilimon | </w:t>
            </w:r>
            <w:r>
              <w:rPr>
                <w:rFonts w:ascii="Arial" w:cs="Arial" w:eastAsia="Arial" w:hAnsi="Arial"/>
                <w:sz w:val="20"/>
                <w:szCs w:val="20"/>
              </w:rPr>
              <w:t xml:space="preserve">Timp de citire: 12 minute</w:t>
            </w:r>
          </w:p>
        </w:tc>
      </w:tr>
    </w:tbl>
    <w:p>
      <w:pPr>
        <w:spacing w:after="300"/>
      </w:pPr>
    </w:p>
    <w:p>
      <w:pPr>
        <w:pStyle w:val="Heading1"/>
        <w:spacing w:before="400" w:after="200"/>
      </w:pPr>
      <w:r>
        <w:rPr>
          <w:rFonts w:ascii="Arial" w:cs="Arial" w:eastAsia="Arial" w:hAnsi="Arial"/>
          <w:b/>
          <w:bCs/>
          <w:color w:val="1B365D"/>
          <w:sz w:val="32"/>
          <w:szCs w:val="32"/>
        </w:rPr>
        <w:t xml:space="preserve">Introducere</w:t>
      </w:r>
    </w:p>
    <w:p>
      <w:pPr>
        <w:spacing w:after="200" w:line="276"/>
        <w:jc w:val="both"/>
      </w:pPr>
      <w:r>
        <w:rPr>
          <w:rFonts w:ascii="Arial" w:cs="Arial" w:eastAsia="Arial" w:hAnsi="Arial"/>
          <w:sz w:val="22"/>
          <w:szCs w:val="22"/>
        </w:rPr>
        <w:t xml:space="preserve">Sistemul RO e-Factura reprezintă platforma națională de facturare electronică implementată de ANAF, prin care facturile sunt emise și transmise într-o bază de date centralizată. Începând cu 1 ianuarie 2025, obligația de transmitere a facturilor prin e-Factura s-a extins și la relațiile B2C (business-to-consumer), adică tranzacțiile cu persoanele fizice.</w:t>
      </w:r>
    </w:p>
    <w:p>
      <w:pPr>
        <w:spacing w:after="200" w:line="276"/>
        <w:jc w:val="both"/>
      </w:pPr>
      <w:r>
        <w:rPr>
          <w:rFonts w:ascii="Arial" w:cs="Arial" w:eastAsia="Arial" w:hAnsi="Arial"/>
          <w:sz w:val="22"/>
          <w:szCs w:val="22"/>
        </w:rPr>
        <w:t xml:space="preserve">Acest ghid prezintă cadrul legal complet al e-Factura B2C conform OUG nr. 120/2021 cu modificările aduse prin OUG nr. 89/2025 (în vigoare din ianuarie 2026), incluzând obligațiile operatorilor economici, excepțiile aplicabile, procedura de transmitere, regimul sancțiunilor și cele mai frecvente întrebări practice.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5F5F5" w:val="clear"/>
            <w:tcMar>
              <w:top w:type="dxa" w:w="150"/>
              <w:left w:type="dxa" w:w="200"/>
              <w:bottom w:type="dxa" w:w="150"/>
              <w:right w:type="dxa" w:w="200"/>
            </w:tcMar>
          </w:tcPr>
          <w:p>
            <w:pPr>
              <w:spacing w:after="100"/>
            </w:pPr>
            <w:r>
              <w:rPr>
                <w:rFonts w:ascii="Arial" w:cs="Arial" w:eastAsia="Arial" w:hAnsi="Arial"/>
                <w:b/>
                <w:bCs/>
                <w:sz w:val="22"/>
                <w:szCs w:val="22"/>
              </w:rPr>
              <w:t xml:space="preserve">⚠️ NOUTATE 2026: TERMEN DE 5 ZILE LUCRĂTOARE</w:t>
            </w:r>
          </w:p>
          <w:p>
            <w:pPr>
              <w:jc w:val="both"/>
            </w:pPr>
            <w:r>
              <w:rPr>
                <w:rFonts w:ascii="Arial" w:cs="Arial" w:eastAsia="Arial" w:hAnsi="Arial"/>
                <w:sz w:val="22"/>
                <w:szCs w:val="22"/>
              </w:rPr>
              <w:t xml:space="preserve">Prin OUG nr. 89/2025, de la 1 ianuarie 2026 termenul de transmitere a facturilor în e-Factura devine 5 zile LUCRĂTOARE (nu calendaristice). Calculul se face conform Regulamentului CEE nr. 1182/1971: ziua emiterii nu se ia în calcul, iar weekendurile și sărbătorile legale nu sunt zile lucrătoare.</w:t>
            </w:r>
          </w:p>
        </w:tc>
      </w:tr>
    </w:tbl>
    <w:p>
      <w:pPr>
        <w:spacing w:after="200"/>
      </w:pPr>
    </w:p>
    <w:p>
      <w:pPr>
        <w:pStyle w:val="Heading1"/>
        <w:spacing w:before="400" w:after="200"/>
      </w:pPr>
      <w:r>
        <w:rPr>
          <w:rFonts w:ascii="Arial" w:cs="Arial" w:eastAsia="Arial" w:hAnsi="Arial"/>
          <w:b/>
          <w:bCs/>
          <w:color w:val="1B365D"/>
          <w:sz w:val="32"/>
          <w:szCs w:val="32"/>
        </w:rPr>
        <w:t xml:space="preserve">1. Ce Este e-Factura B2C</w:t>
      </w:r>
    </w:p>
    <w:p>
      <w:pPr>
        <w:spacing w:after="200" w:line="276"/>
        <w:jc w:val="both"/>
      </w:pPr>
      <w:r>
        <w:rPr>
          <w:rFonts w:ascii="Arial" w:cs="Arial" w:eastAsia="Arial" w:hAnsi="Arial"/>
          <w:sz w:val="22"/>
          <w:szCs w:val="22"/>
        </w:rPr>
        <w:t xml:space="preserve">e-Factura B2C reprezintă obligația operatorilor economici de a transmite în sistemul național RO e-Factura facturile emise către persoanele fizice (consumatori finali) care nu desfășoară activități economice.</w:t>
      </w:r>
    </w:p>
    <w:p>
      <w:pPr>
        <w:pStyle w:val="Heading2"/>
        <w:spacing w:before="300" w:after="150"/>
      </w:pPr>
      <w:r>
        <w:rPr>
          <w:rFonts w:ascii="Arial" w:cs="Arial" w:eastAsia="Arial" w:hAnsi="Arial"/>
          <w:b/>
          <w:bCs/>
          <w:color w:val="1B365D"/>
          <w:sz w:val="26"/>
          <w:szCs w:val="26"/>
        </w:rPr>
        <w:t xml:space="preserve">1.1. Cronologia Implementării</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120"/>
        <w:gridCol w:w="6240"/>
      </w:tblGrid>
      <w:tr>
        <w:tc>
          <w:tcPr>
            <w:tcBorders>
              <w:top w:val="single" w:color="CCCCCC" w:sz="1"/>
              <w:left w:val="single" w:color="CCCCCC" w:sz="1"/>
              <w:bottom w:val="single" w:color="CCCCCC" w:sz="1"/>
              <w:right w:val="single" w:color="CCCCCC" w:sz="1"/>
            </w:tcBorders>
            <w:shd w:fill="E0E0E0" w:val="clear"/>
            <w:tcMar>
              <w:top w:type="dxa" w:w="80"/>
              <w:left w:type="dxa" w:w="120"/>
              <w:bottom w:type="dxa" w:w="80"/>
              <w:right w:type="dxa" w:w="120"/>
            </w:tcMar>
          </w:tcPr>
          <w:p>
            <w:r>
              <w:rPr>
                <w:rFonts w:ascii="Arial" w:cs="Arial" w:eastAsia="Arial" w:hAnsi="Arial"/>
                <w:b/>
                <w:bCs/>
                <w:sz w:val="22"/>
                <w:szCs w:val="22"/>
              </w:rPr>
              <w:t xml:space="preserve">Data</w:t>
            </w:r>
          </w:p>
        </w:tc>
        <w:tc>
          <w:tcPr>
            <w:tcBorders>
              <w:top w:val="single" w:color="CCCCCC" w:sz="1"/>
              <w:left w:val="single" w:color="CCCCCC" w:sz="1"/>
              <w:bottom w:val="single" w:color="CCCCCC" w:sz="1"/>
              <w:right w:val="single" w:color="CCCCCC" w:sz="1"/>
            </w:tcBorders>
            <w:shd w:fill="E0E0E0" w:val="clear"/>
            <w:tcMar>
              <w:top w:type="dxa" w:w="80"/>
              <w:left w:type="dxa" w:w="120"/>
              <w:bottom w:type="dxa" w:w="80"/>
              <w:right w:type="dxa" w:w="120"/>
            </w:tcMar>
          </w:tcPr>
          <w:p>
            <w:r>
              <w:rPr>
                <w:rFonts w:ascii="Arial" w:cs="Arial" w:eastAsia="Arial" w:hAnsi="Arial"/>
                <w:b/>
                <w:bCs/>
                <w:sz w:val="22"/>
                <w:szCs w:val="22"/>
              </w:rPr>
              <w:t xml:space="preserve">Eveniment</w:t>
            </w:r>
          </w:p>
        </w:tc>
      </w:tr>
      <w:tr>
        <w:tc>
          <w:tcPr>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bCs/>
                <w:sz w:val="22"/>
                <w:szCs w:val="22"/>
              </w:rPr>
              <w:t xml:space="preserve">1 ianuarie 2024</w:t>
            </w:r>
          </w:p>
        </w:tc>
        <w:tc>
          <w:tcPr>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e-Factura obligatorie B2B (raportare) și B2G</w:t>
            </w:r>
          </w:p>
        </w:tc>
      </w:tr>
      <w:tr>
        <w:tc>
          <w:tcPr>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bCs/>
                <w:sz w:val="22"/>
                <w:szCs w:val="22"/>
              </w:rPr>
              <w:t xml:space="preserve">1 iulie 2024</w:t>
            </w:r>
          </w:p>
        </w:tc>
        <w:tc>
          <w:tcPr>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e-Factura obligatorie B2B (facturare efectivă)</w:t>
            </w:r>
          </w:p>
        </w:tc>
      </w:tr>
      <w:tr>
        <w:tc>
          <w:tcPr>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bCs/>
                <w:sz w:val="22"/>
                <w:szCs w:val="22"/>
              </w:rPr>
              <w:t xml:space="preserve">1 ianuarie 2025</w:t>
            </w:r>
          </w:p>
        </w:tc>
        <w:tc>
          <w:tcPr>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e-Factura obligatorie B2C (relația cu persoane fizice)</w:t>
            </w:r>
          </w:p>
        </w:tc>
      </w:tr>
      <w:tr>
        <w:tc>
          <w:tcPr>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bCs/>
                <w:sz w:val="22"/>
                <w:szCs w:val="22"/>
              </w:rPr>
              <w:t xml:space="preserve">1 iulie 2025</w:t>
            </w:r>
          </w:p>
        </w:tc>
        <w:tc>
          <w:tcPr>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Începerea aplicării sancțiunilor pentru B2C</w:t>
            </w:r>
          </w:p>
        </w:tc>
      </w:tr>
      <w:tr>
        <w:tc>
          <w:tcPr>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bCs/>
                <w:sz w:val="22"/>
                <w:szCs w:val="22"/>
              </w:rPr>
              <w:t xml:space="preserve">1 ianuarie 2026</w:t>
            </w:r>
          </w:p>
        </w:tc>
        <w:tc>
          <w:tcPr>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Termenul devine 5 zile LUCRĂTOARE (OUG 89/2025)</w:t>
            </w:r>
          </w:p>
        </w:tc>
      </w:tr>
    </w:tbl>
    <w:p>
      <w:pPr>
        <w:spacing w:after="300"/>
      </w:pPr>
    </w:p>
    <w:p>
      <w:pPr>
        <w:pStyle w:val="Heading1"/>
        <w:spacing w:before="400" w:after="200"/>
      </w:pPr>
      <w:r>
        <w:rPr>
          <w:rFonts w:ascii="Arial" w:cs="Arial" w:eastAsia="Arial" w:hAnsi="Arial"/>
          <w:b/>
          <w:bCs/>
          <w:color w:val="1B365D"/>
          <w:sz w:val="32"/>
          <w:szCs w:val="32"/>
        </w:rPr>
        <w:t xml:space="preserve">2. Cine Are Obligația Transmiterii e-Factura B2C</w:t>
      </w:r>
    </w:p>
    <w:p>
      <w:pPr>
        <w:spacing w:after="200" w:line="276"/>
        <w:jc w:val="both"/>
      </w:pPr>
      <w:r>
        <w:rPr>
          <w:rFonts w:ascii="Arial" w:cs="Arial" w:eastAsia="Arial" w:hAnsi="Arial"/>
          <w:sz w:val="22"/>
          <w:szCs w:val="22"/>
        </w:rPr>
        <w:t xml:space="preserve">Obligația de a transmite facturi în sistemul e-Factura pentru tranzacțiile B2C revine tuturor operatorilor economici stabiliți în România, indiferent de forma juridică sau de regimul de TVA:</w:t>
      </w:r>
    </w:p>
    <w:p>
      <w:pPr>
        <w:spacing w:after="200" w:line="276"/>
        <w:jc w:val="both"/>
      </w:pPr>
      <w:r>
        <w:rPr>
          <w:rFonts w:ascii="Arial" w:cs="Arial" w:eastAsia="Arial" w:hAnsi="Arial"/>
          <w:b/>
          <w:bCs/>
          <w:sz w:val="22"/>
          <w:szCs w:val="22"/>
        </w:rPr>
        <w:t xml:space="preserve">• Societăți comerciale (SRL, SA, SNC, SCS) </w:t>
      </w:r>
      <w:r>
        <w:rPr>
          <w:rFonts w:ascii="Arial" w:cs="Arial" w:eastAsia="Arial" w:hAnsi="Arial"/>
          <w:sz w:val="22"/>
          <w:szCs w:val="22"/>
        </w:rPr>
        <w:t xml:space="preserve">- toate persoanele juridice care emit facturi către persoane fizice</w:t>
      </w:r>
    </w:p>
    <w:p>
      <w:pPr>
        <w:spacing w:after="200" w:line="276"/>
        <w:jc w:val="both"/>
      </w:pPr>
      <w:r>
        <w:rPr>
          <w:rFonts w:ascii="Arial" w:cs="Arial" w:eastAsia="Arial" w:hAnsi="Arial"/>
          <w:b/>
          <w:bCs/>
          <w:sz w:val="22"/>
          <w:szCs w:val="22"/>
        </w:rPr>
        <w:t xml:space="preserve">• PFA, Întreprinderi Individuale, Întreprinderi Familiale </w:t>
      </w:r>
      <w:r>
        <w:rPr>
          <w:rFonts w:ascii="Arial" w:cs="Arial" w:eastAsia="Arial" w:hAnsi="Arial"/>
          <w:sz w:val="22"/>
          <w:szCs w:val="22"/>
        </w:rPr>
        <w:t xml:space="preserve">- inclusiv cele neînregistrate în scopuri de TVA</w:t>
      </w:r>
    </w:p>
    <w:p>
      <w:pPr>
        <w:spacing w:after="200" w:line="276"/>
        <w:jc w:val="both"/>
      </w:pPr>
      <w:r>
        <w:rPr>
          <w:rFonts w:ascii="Arial" w:cs="Arial" w:eastAsia="Arial" w:hAnsi="Arial"/>
          <w:b/>
          <w:bCs/>
          <w:sz w:val="22"/>
          <w:szCs w:val="22"/>
        </w:rPr>
        <w:t xml:space="preserve">• Profesii liberale </w:t>
      </w:r>
      <w:r>
        <w:rPr>
          <w:rFonts w:ascii="Arial" w:cs="Arial" w:eastAsia="Arial" w:hAnsi="Arial"/>
          <w:sz w:val="22"/>
          <w:szCs w:val="22"/>
        </w:rPr>
        <w:t xml:space="preserve">(avocați, notari, medici, arhitecți etc.) - pentru facturile emise către clienți persoane fizice</w:t>
      </w:r>
    </w:p>
    <w:p>
      <w:pPr>
        <w:spacing w:after="200" w:line="276"/>
        <w:jc w:val="both"/>
      </w:pPr>
      <w:r>
        <w:rPr>
          <w:rFonts w:ascii="Arial" w:cs="Arial" w:eastAsia="Arial" w:hAnsi="Arial"/>
          <w:b/>
          <w:bCs/>
          <w:sz w:val="22"/>
          <w:szCs w:val="22"/>
        </w:rPr>
        <w:t xml:space="preserve">• Asociații și fundații </w:t>
      </w:r>
      <w:r>
        <w:rPr>
          <w:rFonts w:ascii="Arial" w:cs="Arial" w:eastAsia="Arial" w:hAnsi="Arial"/>
          <w:sz w:val="22"/>
          <w:szCs w:val="22"/>
        </w:rPr>
        <w:t xml:space="preserve">- începând cu 1 iulie 2025, pentru activitățile economice</w:t>
      </w:r>
    </w:p>
    <w:p>
      <w:pPr>
        <w:pStyle w:val="Heading2"/>
        <w:spacing w:before="300" w:after="150"/>
      </w:pPr>
      <w:r>
        <w:rPr>
          <w:rFonts w:ascii="Arial" w:cs="Arial" w:eastAsia="Arial" w:hAnsi="Arial"/>
          <w:b/>
          <w:bCs/>
          <w:color w:val="1B365D"/>
          <w:sz w:val="26"/>
          <w:szCs w:val="26"/>
        </w:rPr>
        <w:t xml:space="preserve">2.1. Noutate 2026: Persoanele Fizice Identificate prin CNP</w:t>
      </w:r>
    </w:p>
    <w:p>
      <w:pPr>
        <w:spacing w:after="200" w:line="276"/>
        <w:jc w:val="both"/>
      </w:pPr>
      <w:r>
        <w:rPr>
          <w:rFonts w:ascii="Arial" w:cs="Arial" w:eastAsia="Arial" w:hAnsi="Arial"/>
          <w:sz w:val="22"/>
          <w:szCs w:val="22"/>
        </w:rPr>
        <w:t xml:space="preserve">Conform OUG nr. 89/2025, persoanele fizice care desfășoară activități economice și se identifică fiscal prin CNP (nu prin CUI) au obligația de a se înscrie în Registrul e-Factura obligatoriu pentru a putea transmite și primi facturi prin sistem.</w:t>
      </w:r>
    </w:p>
    <w:p>
      <w:pPr>
        <w:spacing w:after="200" w:line="276"/>
        <w:jc w:val="both"/>
      </w:pPr>
      <w:r>
        <w:rPr>
          <w:rFonts w:ascii="Arial" w:cs="Arial" w:eastAsia="Arial" w:hAnsi="Arial"/>
          <w:b/>
          <w:bCs/>
          <w:sz w:val="22"/>
          <w:szCs w:val="22"/>
        </w:rPr>
        <w:t xml:space="preserve">Termen de înscriere: </w:t>
      </w:r>
      <w:r>
        <w:rPr>
          <w:rFonts w:ascii="Arial" w:cs="Arial" w:eastAsia="Arial" w:hAnsi="Arial"/>
          <w:sz w:val="22"/>
          <w:szCs w:val="22"/>
        </w:rPr>
        <w:t xml:space="preserve">Persoanele care desfășurau deja activități economice trebuiau să solicite înscrierea până la 15 ianuarie 2026. Pentru cei care încep activitatea după 15 ianuarie 2026, înscrierea trebuie realizată ÎNAINTE de demararea activității, iar ANAF procesează cererea în 3 zile lucrătoare.</w:t>
      </w:r>
    </w:p>
    <w:p>
      <w:pPr>
        <w:spacing w:after="200"/>
      </w:pPr>
    </w:p>
    <w:p>
      <w:pPr>
        <w:pStyle w:val="Heading1"/>
        <w:spacing w:before="400" w:after="200"/>
      </w:pPr>
      <w:r>
        <w:rPr>
          <w:rFonts w:ascii="Arial" w:cs="Arial" w:eastAsia="Arial" w:hAnsi="Arial"/>
          <w:b/>
          <w:bCs/>
          <w:color w:val="1B365D"/>
          <w:sz w:val="32"/>
          <w:szCs w:val="32"/>
        </w:rPr>
        <w:t xml:space="preserve">3. Când Este Obligatorie Transmiterea</w:t>
      </w:r>
    </w:p>
    <w:p>
      <w:pPr>
        <w:pStyle w:val="Heading2"/>
        <w:spacing w:before="300" w:after="150"/>
      </w:pPr>
      <w:r>
        <w:rPr>
          <w:rFonts w:ascii="Arial" w:cs="Arial" w:eastAsia="Arial" w:hAnsi="Arial"/>
          <w:b/>
          <w:bCs/>
          <w:color w:val="1B365D"/>
          <w:sz w:val="26"/>
          <w:szCs w:val="26"/>
        </w:rPr>
        <w:t xml:space="preserve">3.1. Regula Generală</w:t>
      </w:r>
    </w:p>
    <w:p>
      <w:pPr>
        <w:spacing w:after="200" w:line="276"/>
        <w:jc w:val="both"/>
      </w:pPr>
      <w:r>
        <w:rPr>
          <w:rFonts w:ascii="Arial" w:cs="Arial" w:eastAsia="Arial" w:hAnsi="Arial"/>
          <w:sz w:val="22"/>
          <w:szCs w:val="22"/>
        </w:rPr>
        <w:t xml:space="preserve">Ori de câte ori se emite o factură către o persoană fizică pentru livrări de bunuri sau prestări de servicii cu locul în România, factura trebuie transmisă în sistemul e-Factura.</w:t>
      </w:r>
    </w:p>
    <w:p>
      <w:pPr>
        <w:pStyle w:val="Heading2"/>
        <w:spacing w:before="300" w:after="150"/>
      </w:pPr>
      <w:r>
        <w:rPr>
          <w:rFonts w:ascii="Arial" w:cs="Arial" w:eastAsia="Arial" w:hAnsi="Arial"/>
          <w:b/>
          <w:bCs/>
          <w:color w:val="1B365D"/>
          <w:sz w:val="26"/>
          <w:szCs w:val="26"/>
        </w:rPr>
        <w:t xml:space="preserve">3.2. Situația Bonurilor Fiscale</w:t>
      </w:r>
    </w:p>
    <w:p>
      <w:pPr>
        <w:spacing w:after="200" w:line="276"/>
        <w:jc w:val="both"/>
      </w:pPr>
      <w:r>
        <w:rPr>
          <w:rFonts w:ascii="Arial" w:cs="Arial" w:eastAsia="Arial" w:hAnsi="Arial"/>
          <w:sz w:val="22"/>
          <w:szCs w:val="22"/>
        </w:rPr>
        <w:t xml:space="preserve">În tranzacțiile de zi cu zi în care persoana fizică primește doar bon fiscal (de exemplu, la supermarket), NU este necesară emiterea unei facturi suplimentare dacă clientul nu o solicită. Dacă însă consumatorul solicită în mod expres o factură, operatorul economic are obligația să o emită și să o transmită în e-Factura.</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5F5F5" w:val="clear"/>
            <w:tcMar>
              <w:top w:type="dxa" w:w="150"/>
              <w:left w:type="dxa" w:w="200"/>
              <w:bottom w:type="dxa" w:w="150"/>
              <w:right w:type="dxa" w:w="200"/>
            </w:tcMar>
          </w:tcPr>
          <w:p>
            <w:pPr>
              <w:spacing w:after="100"/>
            </w:pPr>
            <w:r>
              <w:rPr>
                <w:rFonts w:ascii="Arial" w:cs="Arial" w:eastAsia="Arial" w:hAnsi="Arial"/>
                <w:b/>
                <w:bCs/>
                <w:sz w:val="22"/>
                <w:szCs w:val="22"/>
              </w:rPr>
              <w:t xml:space="preserve">⚠️ IMPORTANT: BONUL FISCAL NU ÎNLOCUIEȘTE E-FACTURA</w:t>
            </w:r>
          </w:p>
          <w:p>
            <w:pPr>
              <w:jc w:val="both"/>
            </w:pPr>
            <w:r>
              <w:rPr>
                <w:rFonts w:ascii="Arial" w:cs="Arial" w:eastAsia="Arial" w:hAnsi="Arial"/>
                <w:sz w:val="22"/>
                <w:szCs w:val="22"/>
              </w:rPr>
              <w:t xml:space="preserve">Dacă clientul persoană fizică solicită factură, aceasta trebuie emisă ȘI transmisă în sistemul e-Factura, chiar dacă anterior a fost emis un bon fiscal pentru aceeași tranzacție.</w:t>
            </w:r>
          </w:p>
        </w:tc>
      </w:tr>
    </w:tbl>
    <w:p>
      <w:pPr>
        <w:spacing w:after="200"/>
      </w:pPr>
    </w:p>
    <w:p>
      <w:pPr>
        <w:pStyle w:val="Heading2"/>
        <w:spacing w:before="300" w:after="150"/>
      </w:pPr>
      <w:r>
        <w:rPr>
          <w:rFonts w:ascii="Arial" w:cs="Arial" w:eastAsia="Arial" w:hAnsi="Arial"/>
          <w:b/>
          <w:bCs/>
          <w:color w:val="1B365D"/>
          <w:sz w:val="26"/>
          <w:szCs w:val="26"/>
        </w:rPr>
        <w:t xml:space="preserve">3.3. Excepții de la Obligația de Facturare</w:t>
      </w:r>
    </w:p>
    <w:p>
      <w:pPr>
        <w:spacing w:after="200" w:line="276"/>
        <w:jc w:val="both"/>
      </w:pPr>
      <w:r>
        <w:rPr>
          <w:rFonts w:ascii="Arial" w:cs="Arial" w:eastAsia="Arial" w:hAnsi="Arial"/>
          <w:sz w:val="22"/>
          <w:szCs w:val="22"/>
        </w:rPr>
        <w:t xml:space="preserve">Conform Codului fiscal, există situații în care NU există obligația emiterii de facturi, indiferent de cine este clientul:</w:t>
      </w:r>
    </w:p>
    <w:p>
      <w:pPr>
        <w:spacing w:after="200" w:line="276"/>
        <w:jc w:val="both"/>
      </w:pPr>
      <w:r>
        <w:rPr>
          <w:rFonts w:ascii="Arial" w:cs="Arial" w:eastAsia="Arial" w:hAnsi="Arial"/>
          <w:b/>
          <w:bCs/>
          <w:sz w:val="22"/>
          <w:szCs w:val="22"/>
        </w:rPr>
        <w:t xml:space="preserve">• Servicii medicale și stomatologice </w:t>
      </w:r>
      <w:r>
        <w:rPr>
          <w:rFonts w:ascii="Arial" w:cs="Arial" w:eastAsia="Arial" w:hAnsi="Arial"/>
          <w:sz w:val="22"/>
          <w:szCs w:val="22"/>
        </w:rPr>
        <w:t xml:space="preserve">- scutite de TVA conform art. 292 Cod fiscal</w:t>
      </w:r>
    </w:p>
    <w:p>
      <w:pPr>
        <w:spacing w:after="200" w:line="276"/>
        <w:jc w:val="both"/>
      </w:pPr>
      <w:r>
        <w:rPr>
          <w:rFonts w:ascii="Arial" w:cs="Arial" w:eastAsia="Arial" w:hAnsi="Arial"/>
          <w:b/>
          <w:bCs/>
          <w:sz w:val="22"/>
          <w:szCs w:val="22"/>
        </w:rPr>
        <w:t xml:space="preserve">• Servicii de învățământ </w:t>
      </w:r>
      <w:r>
        <w:rPr>
          <w:rFonts w:ascii="Arial" w:cs="Arial" w:eastAsia="Arial" w:hAnsi="Arial"/>
          <w:sz w:val="22"/>
          <w:szCs w:val="22"/>
        </w:rPr>
        <w:t xml:space="preserve">- prestate de instituții autorizate</w:t>
      </w:r>
    </w:p>
    <w:p>
      <w:pPr>
        <w:spacing w:after="200" w:line="276"/>
        <w:jc w:val="both"/>
      </w:pPr>
      <w:r>
        <w:rPr>
          <w:rFonts w:ascii="Arial" w:cs="Arial" w:eastAsia="Arial" w:hAnsi="Arial"/>
          <w:b/>
          <w:bCs/>
          <w:sz w:val="22"/>
          <w:szCs w:val="22"/>
        </w:rPr>
        <w:t xml:space="preserve">• Bonuri fiscale simplificate </w:t>
      </w:r>
      <w:r>
        <w:rPr>
          <w:rFonts w:ascii="Arial" w:cs="Arial" w:eastAsia="Arial" w:hAnsi="Arial"/>
          <w:sz w:val="22"/>
          <w:szCs w:val="22"/>
        </w:rPr>
        <w:t xml:space="preserve">- care îndeplinesc condițiile facturii simplificate și pentru care clientul nu solicită factură</w:t>
      </w:r>
    </w:p>
    <w:p>
      <w:pPr>
        <w:spacing w:after="200" w:line="276"/>
        <w:jc w:val="both"/>
      </w:pPr>
      <w:r>
        <w:rPr>
          <w:rFonts w:ascii="Arial" w:cs="Arial" w:eastAsia="Arial" w:hAnsi="Arial"/>
          <w:b/>
          <w:bCs/>
          <w:sz w:val="22"/>
          <w:szCs w:val="22"/>
        </w:rPr>
        <w:t xml:space="preserve">• Livrări intracomunitare </w:t>
      </w:r>
      <w:r>
        <w:rPr>
          <w:rFonts w:ascii="Arial" w:cs="Arial" w:eastAsia="Arial" w:hAnsi="Arial"/>
          <w:sz w:val="22"/>
          <w:szCs w:val="22"/>
        </w:rPr>
        <w:t xml:space="preserve">- când beneficiarul comunică cod de TVA din alt stat membru</w:t>
      </w:r>
    </w:p>
    <w:p>
      <w:pPr>
        <w:spacing w:after="200"/>
      </w:pPr>
    </w:p>
    <w:p>
      <w:pPr>
        <w:pStyle w:val="Heading1"/>
        <w:spacing w:before="400" w:after="200"/>
      </w:pPr>
      <w:r>
        <w:rPr>
          <w:rFonts w:ascii="Arial" w:cs="Arial" w:eastAsia="Arial" w:hAnsi="Arial"/>
          <w:b/>
          <w:bCs/>
          <w:color w:val="1B365D"/>
          <w:sz w:val="32"/>
          <w:szCs w:val="32"/>
        </w:rPr>
        <w:t xml:space="preserve">4. Termenul de Transmitere</w:t>
      </w:r>
    </w:p>
    <w:p>
      <w:pPr>
        <w:pStyle w:val="Heading2"/>
        <w:spacing w:before="300" w:after="150"/>
      </w:pPr>
      <w:r>
        <w:rPr>
          <w:rFonts w:ascii="Arial" w:cs="Arial" w:eastAsia="Arial" w:hAnsi="Arial"/>
          <w:b/>
          <w:bCs/>
          <w:color w:val="1B365D"/>
          <w:sz w:val="26"/>
          <w:szCs w:val="26"/>
        </w:rPr>
        <w:t xml:space="preserve">4.1. Regula din 2026: 5 Zile Lucrătoare</w:t>
      </w:r>
    </w:p>
    <w:p>
      <w:pPr>
        <w:spacing w:after="200" w:line="276"/>
        <w:jc w:val="both"/>
      </w:pPr>
      <w:r>
        <w:rPr>
          <w:rFonts w:ascii="Arial" w:cs="Arial" w:eastAsia="Arial" w:hAnsi="Arial"/>
          <w:sz w:val="22"/>
          <w:szCs w:val="22"/>
        </w:rPr>
        <w:t xml:space="preserve">Începând cu 1 ianuarie 2026, termenul limită pentru transmiterea facturilor în sistemul e-Factura este de 5 zile LUCRĂTOARE de la emiterea facturii, atât pentru relațiile B2B, cât și pentru B2C.</w:t>
      </w:r>
    </w:p>
    <w:p>
      <w:pPr>
        <w:pStyle w:val="Heading2"/>
        <w:spacing w:before="300" w:after="150"/>
      </w:pPr>
      <w:r>
        <w:rPr>
          <w:rFonts w:ascii="Arial" w:cs="Arial" w:eastAsia="Arial" w:hAnsi="Arial"/>
          <w:b/>
          <w:bCs/>
          <w:color w:val="1B365D"/>
          <w:sz w:val="26"/>
          <w:szCs w:val="26"/>
        </w:rPr>
        <w:t xml:space="preserve">4.2. Calculul Termenului</w:t>
      </w:r>
    </w:p>
    <w:p>
      <w:pPr>
        <w:spacing w:after="200" w:line="276"/>
        <w:jc w:val="both"/>
      </w:pPr>
      <w:r>
        <w:rPr>
          <w:rFonts w:ascii="Arial" w:cs="Arial" w:eastAsia="Arial" w:hAnsi="Arial"/>
          <w:sz w:val="22"/>
          <w:szCs w:val="22"/>
        </w:rPr>
        <w:t xml:space="preserve">Calculul se face conform Regulamentului (CEE, Euratom) nr. 1182/1971:</w:t>
      </w:r>
    </w:p>
    <w:p>
      <w:pPr>
        <w:spacing w:after="200" w:line="276"/>
        <w:jc w:val="both"/>
      </w:pPr>
      <w:r>
        <w:rPr>
          <w:rFonts w:ascii="Arial" w:cs="Arial" w:eastAsia="Arial" w:hAnsi="Arial"/>
          <w:b/>
          <w:bCs/>
          <w:sz w:val="22"/>
          <w:szCs w:val="22"/>
        </w:rPr>
        <w:t xml:space="preserve">• </w:t>
      </w:r>
      <w:r>
        <w:rPr>
          <w:rFonts w:ascii="Arial" w:cs="Arial" w:eastAsia="Arial" w:hAnsi="Arial"/>
          <w:sz w:val="22"/>
          <w:szCs w:val="22"/>
        </w:rPr>
        <w:t xml:space="preserve">Ziua emiterii facturii NU se ia în calcul</w:t>
      </w:r>
    </w:p>
    <w:p>
      <w:pPr>
        <w:spacing w:after="200" w:line="276"/>
        <w:jc w:val="both"/>
      </w:pPr>
      <w:r>
        <w:rPr>
          <w:rFonts w:ascii="Arial" w:cs="Arial" w:eastAsia="Arial" w:hAnsi="Arial"/>
          <w:b/>
          <w:bCs/>
          <w:sz w:val="22"/>
          <w:szCs w:val="22"/>
        </w:rPr>
        <w:t xml:space="preserve">• </w:t>
      </w:r>
      <w:r>
        <w:rPr>
          <w:rFonts w:ascii="Arial" w:cs="Arial" w:eastAsia="Arial" w:hAnsi="Arial"/>
          <w:sz w:val="22"/>
          <w:szCs w:val="22"/>
        </w:rPr>
        <w:t xml:space="preserve">Termenul începe din prima oră a zilei următoare</w:t>
      </w:r>
    </w:p>
    <w:p>
      <w:pPr>
        <w:spacing w:after="200" w:line="276"/>
        <w:jc w:val="both"/>
      </w:pPr>
      <w:r>
        <w:rPr>
          <w:rFonts w:ascii="Arial" w:cs="Arial" w:eastAsia="Arial" w:hAnsi="Arial"/>
          <w:b/>
          <w:bCs/>
          <w:sz w:val="22"/>
          <w:szCs w:val="22"/>
        </w:rPr>
        <w:t xml:space="preserve">• </w:t>
      </w:r>
      <w:r>
        <w:rPr>
          <w:rFonts w:ascii="Arial" w:cs="Arial" w:eastAsia="Arial" w:hAnsi="Arial"/>
          <w:sz w:val="22"/>
          <w:szCs w:val="22"/>
        </w:rPr>
        <w:t xml:space="preserve">NU sunt zile lucrătoare: sâmbăta, duminica și sărbătorile legale</w:t>
      </w:r>
    </w:p>
    <w:p>
      <w:pPr>
        <w:spacing w:after="200" w:line="276"/>
        <w:jc w:val="both"/>
      </w:pPr>
      <w:r>
        <w:rPr>
          <w:rFonts w:ascii="Arial" w:cs="Arial" w:eastAsia="Arial" w:hAnsi="Arial"/>
          <w:b/>
          <w:bCs/>
          <w:sz w:val="22"/>
          <w:szCs w:val="22"/>
        </w:rPr>
        <w:t xml:space="preserve">• </w:t>
      </w:r>
      <w:r>
        <w:rPr>
          <w:rFonts w:ascii="Arial" w:cs="Arial" w:eastAsia="Arial" w:hAnsi="Arial"/>
          <w:sz w:val="22"/>
          <w:szCs w:val="22"/>
        </w:rPr>
        <w:t xml:space="preserve">Dacă ultima zi cade într-o zi nelucrătoare, termenul se prelungește până la următoarea zi lucrătoare</w:t>
      </w:r>
    </w:p>
    <w:p>
      <w:pPr>
        <w:pStyle w:val="Heading3"/>
        <w:spacing w:before="200" w:after="100"/>
      </w:pPr>
      <w:r>
        <w:rPr>
          <w:rFonts w:ascii="Arial" w:cs="Arial" w:eastAsia="Arial" w:hAnsi="Arial"/>
          <w:b/>
          <w:bCs/>
          <w:sz w:val="22"/>
          <w:szCs w:val="22"/>
        </w:rPr>
        <w:t xml:space="preserve">Exemplu practic:</w:t>
      </w:r>
    </w:p>
    <w:p>
      <w:pPr>
        <w:spacing w:after="200" w:line="276"/>
        <w:jc w:val="both"/>
      </w:pPr>
      <w:r>
        <w:rPr>
          <w:rFonts w:ascii="Arial" w:cs="Arial" w:eastAsia="Arial" w:hAnsi="Arial"/>
          <w:sz w:val="22"/>
          <w:szCs w:val="22"/>
        </w:rPr>
        <w:t xml:space="preserve">Factură emisă miercuri, 8 ianuarie 2026. Termenul de 5 zile lucrătoare: joi 9, vineri 10, luni 13, marți 14, miercuri 15 ianuarie. Termen limită: miercuri, 15 ianuarie 2026.</w:t>
      </w:r>
    </w:p>
    <w:p>
      <w:pPr>
        <w:spacing w:after="200"/>
      </w:pPr>
    </w:p>
    <w:p>
      <w:pPr>
        <w:pStyle w:val="Heading1"/>
        <w:spacing w:before="400" w:after="200"/>
      </w:pPr>
      <w:r>
        <w:rPr>
          <w:rFonts w:ascii="Arial" w:cs="Arial" w:eastAsia="Arial" w:hAnsi="Arial"/>
          <w:b/>
          <w:bCs/>
          <w:color w:val="1B365D"/>
          <w:sz w:val="32"/>
          <w:szCs w:val="32"/>
        </w:rPr>
        <w:t xml:space="preserve">5. Cum Se Transmite e-Factura B2C</w:t>
      </w:r>
    </w:p>
    <w:p>
      <w:pPr>
        <w:pStyle w:val="Heading2"/>
        <w:spacing w:before="300" w:after="150"/>
      </w:pPr>
      <w:r>
        <w:rPr>
          <w:rFonts w:ascii="Arial" w:cs="Arial" w:eastAsia="Arial" w:hAnsi="Arial"/>
          <w:b/>
          <w:bCs/>
          <w:color w:val="1B365D"/>
          <w:sz w:val="26"/>
          <w:szCs w:val="26"/>
        </w:rPr>
        <w:t xml:space="preserve">5.1. Accesarea Sistemului</w:t>
      </w:r>
    </w:p>
    <w:p>
      <w:pPr>
        <w:spacing w:after="200" w:line="276"/>
        <w:jc w:val="both"/>
      </w:pPr>
      <w:r>
        <w:rPr>
          <w:rFonts w:ascii="Arial" w:cs="Arial" w:eastAsia="Arial" w:hAnsi="Arial"/>
          <w:sz w:val="22"/>
          <w:szCs w:val="22"/>
        </w:rPr>
        <w:t xml:space="preserve">Transmiterea se face prin Spațiul Privat Virtual (SPV) de pe site-ul ANAF (www.anaf.ro). Operatorii economici trebuie să fie înrolați în SPV și să aibă acces la modulul Factura electronică.</w:t>
      </w:r>
    </w:p>
    <w:p>
      <w:pPr>
        <w:pStyle w:val="Heading2"/>
        <w:spacing w:before="300" w:after="150"/>
      </w:pPr>
      <w:r>
        <w:rPr>
          <w:rFonts w:ascii="Arial" w:cs="Arial" w:eastAsia="Arial" w:hAnsi="Arial"/>
          <w:b/>
          <w:bCs/>
          <w:color w:val="1B365D"/>
          <w:sz w:val="26"/>
          <w:szCs w:val="26"/>
        </w:rPr>
        <w:t xml:space="preserve">5.2. Formatul Facturii</w:t>
      </w:r>
    </w:p>
    <w:p>
      <w:pPr>
        <w:spacing w:after="200" w:line="276"/>
        <w:jc w:val="both"/>
      </w:pPr>
      <w:r>
        <w:rPr>
          <w:rFonts w:ascii="Arial" w:cs="Arial" w:eastAsia="Arial" w:hAnsi="Arial"/>
          <w:sz w:val="22"/>
          <w:szCs w:val="22"/>
        </w:rPr>
        <w:t xml:space="preserve">Factura trebuie transmisă în format XML, conform specificațiilor tehnice publicate de ANAF. Majoritatea aplicațiilor de facturare (SmartBill, Facturis, Saga, ContApp etc.) permit generarea automată a fișierului XML și transmiterea directă în e-Factura.</w:t>
      </w:r>
    </w:p>
    <w:p>
      <w:pPr>
        <w:pStyle w:val="Heading2"/>
        <w:spacing w:before="300" w:after="150"/>
      </w:pPr>
      <w:r>
        <w:rPr>
          <w:rFonts w:ascii="Arial" w:cs="Arial" w:eastAsia="Arial" w:hAnsi="Arial"/>
          <w:b/>
          <w:bCs/>
          <w:color w:val="1B365D"/>
          <w:sz w:val="26"/>
          <w:szCs w:val="26"/>
        </w:rPr>
        <w:t xml:space="preserve">5.3. Identificarea Persoanei Fizice</w:t>
      </w:r>
    </w:p>
    <w:p>
      <w:pPr>
        <w:spacing w:after="200" w:line="276"/>
        <w:jc w:val="both"/>
      </w:pPr>
      <w:r>
        <w:rPr>
          <w:rFonts w:ascii="Arial" w:cs="Arial" w:eastAsia="Arial" w:hAnsi="Arial"/>
          <w:sz w:val="22"/>
          <w:szCs w:val="22"/>
        </w:rPr>
        <w:t xml:space="preserve">Conform clarificărilor ANAF și OUG nr. 89/2025:</w:t>
      </w:r>
    </w:p>
    <w:p>
      <w:pPr>
        <w:spacing w:after="200" w:line="276"/>
        <w:jc w:val="both"/>
      </w:pPr>
      <w:r>
        <w:rPr>
          <w:rFonts w:ascii="Arial" w:cs="Arial" w:eastAsia="Arial" w:hAnsi="Arial"/>
          <w:b/>
          <w:bCs/>
          <w:sz w:val="22"/>
          <w:szCs w:val="22"/>
        </w:rPr>
        <w:t xml:space="preserve">• </w:t>
      </w:r>
      <w:r>
        <w:rPr>
          <w:rFonts w:ascii="Arial" w:cs="Arial" w:eastAsia="Arial" w:hAnsi="Arial"/>
          <w:sz w:val="22"/>
          <w:szCs w:val="22"/>
        </w:rPr>
        <w:t xml:space="preserve">Persoana fizică poate fi identificată prin CNP</w:t>
      </w:r>
    </w:p>
    <w:p>
      <w:pPr>
        <w:spacing w:after="200" w:line="276"/>
        <w:jc w:val="both"/>
      </w:pPr>
      <w:r>
        <w:rPr>
          <w:rFonts w:ascii="Arial" w:cs="Arial" w:eastAsia="Arial" w:hAnsi="Arial"/>
          <w:b/>
          <w:bCs/>
          <w:sz w:val="22"/>
          <w:szCs w:val="22"/>
        </w:rPr>
        <w:t xml:space="preserve">• </w:t>
      </w:r>
      <w:r>
        <w:rPr>
          <w:rFonts w:ascii="Arial" w:cs="Arial" w:eastAsia="Arial" w:hAnsi="Arial"/>
          <w:sz w:val="22"/>
          <w:szCs w:val="22"/>
        </w:rPr>
        <w:t xml:space="preserve">Dacă persoana NU dorește să comunice CNP-ul, se utilizează codul generic: 0000000000000 (13 zerouri)</w:t>
      </w:r>
    </w:p>
    <w:p>
      <w:pPr>
        <w:spacing w:after="200" w:line="276"/>
        <w:jc w:val="both"/>
      </w:pPr>
      <w:r>
        <w:rPr>
          <w:rFonts w:ascii="Arial" w:cs="Arial" w:eastAsia="Arial" w:hAnsi="Arial"/>
          <w:b/>
          <w:bCs/>
          <w:sz w:val="22"/>
          <w:szCs w:val="22"/>
        </w:rPr>
        <w:t xml:space="preserve">• </w:t>
      </w:r>
      <w:r>
        <w:rPr>
          <w:rFonts w:ascii="Arial" w:cs="Arial" w:eastAsia="Arial" w:hAnsi="Arial"/>
          <w:sz w:val="22"/>
          <w:szCs w:val="22"/>
        </w:rPr>
        <w:t xml:space="preserve">NU este obligatorie colectarea CNP-ului de la clienți</w:t>
      </w:r>
    </w:p>
    <w:p>
      <w:pPr>
        <w:spacing w:after="200" w:line="276"/>
        <w:jc w:val="both"/>
      </w:pPr>
      <w:r>
        <w:rPr>
          <w:rFonts w:ascii="Arial" w:cs="Arial" w:eastAsia="Arial" w:hAnsi="Arial"/>
          <w:b/>
          <w:bCs/>
          <w:sz w:val="22"/>
          <w:szCs w:val="22"/>
        </w:rPr>
        <w:t xml:space="preserve">• </w:t>
      </w:r>
      <w:r>
        <w:rPr>
          <w:rFonts w:ascii="Arial" w:cs="Arial" w:eastAsia="Arial" w:hAnsi="Arial"/>
          <w:sz w:val="22"/>
          <w:szCs w:val="22"/>
        </w:rPr>
        <w:t xml:space="preserve">Factura se transmite în e-Factura indiferent dacă se folosește CNP real sau cod generic</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5F5F5" w:val="clear"/>
            <w:tcMar>
              <w:top w:type="dxa" w:w="150"/>
              <w:left w:type="dxa" w:w="200"/>
              <w:bottom w:type="dxa" w:w="150"/>
              <w:right w:type="dxa" w:w="200"/>
            </w:tcMar>
          </w:tcPr>
          <w:p>
            <w:pPr>
              <w:spacing w:after="100"/>
            </w:pPr>
            <w:r>
              <w:rPr>
                <w:rFonts w:ascii="Arial" w:cs="Arial" w:eastAsia="Arial" w:hAnsi="Arial"/>
                <w:b/>
                <w:bCs/>
                <w:sz w:val="22"/>
                <w:szCs w:val="22"/>
              </w:rPr>
              <w:t xml:space="preserve">⚠️ GDPR: PROTECȚIA DATELOR PERSONALE</w:t>
            </w:r>
          </w:p>
          <w:p>
            <w:pPr>
              <w:jc w:val="both"/>
            </w:pPr>
            <w:r>
              <w:rPr>
                <w:rFonts w:ascii="Arial" w:cs="Arial" w:eastAsia="Arial" w:hAnsi="Arial"/>
                <w:sz w:val="22"/>
                <w:szCs w:val="22"/>
              </w:rPr>
              <w:t xml:space="preserve">Utilizarea codului de 13 zerouri respectă normele GDPR privind confidențialitatea datelor personale. Clientul nu poate fi obligat să furnizeze CNP-ul pentru emiterea facturii.</w:t>
            </w:r>
          </w:p>
        </w:tc>
      </w:tr>
    </w:tbl>
    <w:p>
      <w:pPr>
        <w:spacing w:after="200"/>
      </w:pPr>
    </w:p>
    <w:p>
      <w:pPr>
        <w:pStyle w:val="Heading2"/>
        <w:spacing w:before="300" w:after="150"/>
      </w:pPr>
      <w:r>
        <w:rPr>
          <w:rFonts w:ascii="Arial" w:cs="Arial" w:eastAsia="Arial" w:hAnsi="Arial"/>
          <w:b/>
          <w:bCs/>
          <w:color w:val="1B365D"/>
          <w:sz w:val="26"/>
          <w:szCs w:val="26"/>
        </w:rPr>
        <w:t xml:space="preserve">5.4. Comunicarea Facturii către Client</w:t>
      </w:r>
    </w:p>
    <w:p>
      <w:pPr>
        <w:spacing w:after="200" w:line="276"/>
        <w:jc w:val="both"/>
      </w:pPr>
      <w:r>
        <w:rPr>
          <w:rFonts w:ascii="Arial" w:cs="Arial" w:eastAsia="Arial" w:hAnsi="Arial"/>
          <w:sz w:val="22"/>
          <w:szCs w:val="22"/>
        </w:rPr>
        <w:t xml:space="preserve">Transmiterea în e-Factura NU înlocuiește obligația de a comunica factura către clientul persoană fizică. Operatorul economic trebuie să furnizeze factura clientului în format clasic (hârtie sau PDF/e-mail), conform preferinței acestuia. Persoanele fizice NU au obligația de a accesa SPV sau de a descărca facturi din sistemul e-Factura.</w:t>
      </w:r>
    </w:p>
    <w:p>
      <w:pPr>
        <w:spacing w:after="200"/>
      </w:pPr>
    </w:p>
    <w:p>
      <w:pPr>
        <w:pStyle w:val="Heading1"/>
        <w:spacing w:before="400" w:after="200"/>
      </w:pPr>
      <w:r>
        <w:rPr>
          <w:rFonts w:ascii="Arial" w:cs="Arial" w:eastAsia="Arial" w:hAnsi="Arial"/>
          <w:b/>
          <w:bCs/>
          <w:color w:val="1B365D"/>
          <w:sz w:val="32"/>
          <w:szCs w:val="32"/>
        </w:rPr>
        <w:t xml:space="preserve">6. Sancțiuni pentru Neconformare</w:t>
      </w:r>
    </w:p>
    <w:p>
      <w:pPr>
        <w:spacing w:after="200" w:line="276"/>
        <w:jc w:val="both"/>
      </w:pPr>
      <w:r>
        <w:rPr>
          <w:rFonts w:ascii="Arial" w:cs="Arial" w:eastAsia="Arial" w:hAnsi="Arial"/>
          <w:sz w:val="22"/>
          <w:szCs w:val="22"/>
        </w:rPr>
        <w:t xml:space="preserve">Începând cu 1 iulie 2025, se aplică sancțiuni pentru nerespectarea obligațiilor privind e-Factura B2C.</w:t>
      </w:r>
    </w:p>
    <w:p>
      <w:pPr>
        <w:pStyle w:val="Heading2"/>
        <w:spacing w:before="300" w:after="150"/>
      </w:pPr>
      <w:r>
        <w:rPr>
          <w:rFonts w:ascii="Arial" w:cs="Arial" w:eastAsia="Arial" w:hAnsi="Arial"/>
          <w:b/>
          <w:bCs/>
          <w:color w:val="1B365D"/>
          <w:sz w:val="26"/>
          <w:szCs w:val="26"/>
        </w:rPr>
        <w:t xml:space="preserve">6.1. Amenzi pentru Depășirea Termenului de 5 Zile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Borders>
              <w:top w:val="single" w:color="CCCCCC" w:sz="1"/>
              <w:left w:val="single" w:color="CCCCCC" w:sz="1"/>
              <w:bottom w:val="single" w:color="CCCCCC" w:sz="1"/>
              <w:right w:val="single" w:color="CCCCCC" w:sz="1"/>
            </w:tcBorders>
            <w:shd w:fill="E0E0E0" w:val="clear"/>
            <w:tcMar>
              <w:top w:type="dxa" w:w="80"/>
              <w:left w:type="dxa" w:w="120"/>
              <w:bottom w:type="dxa" w:w="80"/>
              <w:right w:type="dxa" w:w="120"/>
            </w:tcMar>
          </w:tcPr>
          <w:p>
            <w:r>
              <w:rPr>
                <w:rFonts w:ascii="Arial" w:cs="Arial" w:eastAsia="Arial" w:hAnsi="Arial"/>
                <w:b/>
                <w:bCs/>
                <w:sz w:val="22"/>
                <w:szCs w:val="22"/>
              </w:rPr>
              <w:t xml:space="preserve">Categoria contribuabilului</w:t>
            </w:r>
          </w:p>
        </w:tc>
        <w:tc>
          <w:tcPr>
            <w:tcBorders>
              <w:top w:val="single" w:color="CCCCCC" w:sz="1"/>
              <w:left w:val="single" w:color="CCCCCC" w:sz="1"/>
              <w:bottom w:val="single" w:color="CCCCCC" w:sz="1"/>
              <w:right w:val="single" w:color="CCCCCC" w:sz="1"/>
            </w:tcBorders>
            <w:shd w:fill="E0E0E0" w:val="clear"/>
            <w:tcMar>
              <w:top w:type="dxa" w:w="80"/>
              <w:left w:type="dxa" w:w="120"/>
              <w:bottom w:type="dxa" w:w="80"/>
              <w:right w:type="dxa" w:w="120"/>
            </w:tcMar>
          </w:tcPr>
          <w:p>
            <w:r>
              <w:rPr>
                <w:rFonts w:ascii="Arial" w:cs="Arial" w:eastAsia="Arial" w:hAnsi="Arial"/>
                <w:b/>
                <w:bCs/>
                <w:sz w:val="22"/>
                <w:szCs w:val="22"/>
              </w:rPr>
              <w:t xml:space="preserve">Amendă</w:t>
            </w:r>
          </w:p>
        </w:tc>
      </w:tr>
      <w:tr>
        <w:tc>
          <w:tcPr>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Contribuabili mari</w:t>
            </w:r>
          </w:p>
        </w:tc>
        <w:tc>
          <w:tcPr>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bCs/>
                <w:sz w:val="22"/>
                <w:szCs w:val="22"/>
              </w:rPr>
              <w:t xml:space="preserve">5.000 - 10.000 lei</w:t>
            </w:r>
          </w:p>
        </w:tc>
      </w:tr>
      <w:tr>
        <w:tc>
          <w:tcPr>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Contribuabili mijlocii</w:t>
            </w:r>
          </w:p>
        </w:tc>
        <w:tc>
          <w:tcPr>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bCs/>
                <w:sz w:val="22"/>
                <w:szCs w:val="22"/>
              </w:rPr>
              <w:t xml:space="preserve">2.500 - 5.000 lei</w:t>
            </w:r>
          </w:p>
        </w:tc>
      </w:tr>
      <w:tr>
        <w:tc>
          <w:tcPr>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Alte persoane juridice și PFA</w:t>
            </w:r>
          </w:p>
        </w:tc>
        <w:tc>
          <w:tcPr>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bCs/>
                <w:sz w:val="22"/>
                <w:szCs w:val="22"/>
              </w:rPr>
              <w:t xml:space="preserve">1.000 - 2.500 lei</w:t>
            </w:r>
          </w:p>
        </w:tc>
      </w:tr>
    </w:tbl>
    <w:p>
      <w:pPr>
        <w:spacing w:after="200"/>
      </w:pPr>
    </w:p>
    <w:p>
      <w:pPr>
        <w:pStyle w:val="Heading2"/>
        <w:spacing w:before="300" w:after="150"/>
      </w:pPr>
      <w:r>
        <w:rPr>
          <w:rFonts w:ascii="Arial" w:cs="Arial" w:eastAsia="Arial" w:hAnsi="Arial"/>
          <w:b/>
          <w:bCs/>
          <w:color w:val="1B365D"/>
          <w:sz w:val="26"/>
          <w:szCs w:val="26"/>
        </w:rPr>
        <w:t xml:space="preserve">6.2. Amendă pentru Netransmitere</w:t>
      </w:r>
    </w:p>
    <w:p>
      <w:pPr>
        <w:spacing w:after="200" w:line="276"/>
        <w:jc w:val="both"/>
      </w:pPr>
      <w:r>
        <w:rPr>
          <w:rFonts w:ascii="Arial" w:cs="Arial" w:eastAsia="Arial" w:hAnsi="Arial"/>
          <w:b/>
          <w:bCs/>
          <w:sz w:val="22"/>
          <w:szCs w:val="22"/>
        </w:rPr>
        <w:t xml:space="preserve">15% din valoarea facturii </w:t>
      </w:r>
      <w:r>
        <w:rPr>
          <w:rFonts w:ascii="Arial" w:cs="Arial" w:eastAsia="Arial" w:hAnsi="Arial"/>
          <w:sz w:val="22"/>
          <w:szCs w:val="22"/>
        </w:rPr>
        <w:t xml:space="preserve">- pentru neîndeplinirea totală a obligației de transmitere a facturilor în e-Factura. Această sancțiune se aplică indiferent de valoarea facturii și de categoria contribuabilului.</w:t>
      </w:r>
    </w:p>
    <w:p>
      <w:pPr>
        <w:pStyle w:val="Heading2"/>
        <w:spacing w:before="300" w:after="150"/>
      </w:pPr>
      <w:r>
        <w:rPr>
          <w:rFonts w:ascii="Arial" w:cs="Arial" w:eastAsia="Arial" w:hAnsi="Arial"/>
          <w:b/>
          <w:bCs/>
          <w:color w:val="1B365D"/>
          <w:sz w:val="26"/>
          <w:szCs w:val="26"/>
        </w:rPr>
        <w:t xml:space="preserve">6.3. Sancțiuni pentru Beneficiari</w:t>
      </w:r>
    </w:p>
    <w:p>
      <w:pPr>
        <w:spacing w:after="200" w:line="276"/>
        <w:jc w:val="both"/>
      </w:pPr>
      <w:r>
        <w:rPr>
          <w:rFonts w:ascii="Arial" w:cs="Arial" w:eastAsia="Arial" w:hAnsi="Arial"/>
          <w:sz w:val="22"/>
          <w:szCs w:val="22"/>
        </w:rPr>
        <w:t xml:space="preserve">Destinatarii (în relațiile B2B) care înregistrează în contabilitate facturi de la furnizori din România fără ca acestea să fi fost transmise în e-Factura pot fi sancționați cu amendă de 15% din valoarea facturii.</w:t>
      </w:r>
    </w:p>
    <w:p>
      <w:pPr>
        <w:spacing w:after="200"/>
      </w:pPr>
    </w:p>
    <w:p>
      <w:pPr>
        <w:pStyle w:val="Heading1"/>
        <w:spacing w:before="400" w:after="200"/>
      </w:pPr>
      <w:r>
        <w:rPr>
          <w:rFonts w:ascii="Arial" w:cs="Arial" w:eastAsia="Arial" w:hAnsi="Arial"/>
          <w:b/>
          <w:bCs/>
          <w:color w:val="1B365D"/>
          <w:sz w:val="32"/>
          <w:szCs w:val="32"/>
        </w:rPr>
        <w:t xml:space="preserve">7. Pași Practici pentru Conformare</w:t>
      </w:r>
    </w:p>
    <w:p>
      <w:pPr>
        <w:pStyle w:val="Heading3"/>
        <w:spacing w:before="200" w:after="100"/>
      </w:pPr>
      <w:r>
        <w:rPr>
          <w:rFonts w:ascii="Arial" w:cs="Arial" w:eastAsia="Arial" w:hAnsi="Arial"/>
          <w:b/>
          <w:bCs/>
          <w:sz w:val="22"/>
          <w:szCs w:val="22"/>
        </w:rPr>
        <w:t xml:space="preserve">Pasul 1: Verifică înrolarea în SPV</w:t>
      </w:r>
    </w:p>
    <w:p>
      <w:pPr>
        <w:spacing w:after="200" w:line="276"/>
        <w:jc w:val="both"/>
      </w:pPr>
      <w:r>
        <w:rPr>
          <w:rFonts w:ascii="Arial" w:cs="Arial" w:eastAsia="Arial" w:hAnsi="Arial"/>
          <w:sz w:val="22"/>
          <w:szCs w:val="22"/>
        </w:rPr>
        <w:t xml:space="preserve">Asigură-te că firma/PFA este înrolată în Spațiul Privat Virtual ANAF și că ai acces la modulul Factura electronică.</w:t>
      </w:r>
    </w:p>
    <w:p>
      <w:pPr>
        <w:pStyle w:val="Heading3"/>
        <w:spacing w:before="200" w:after="100"/>
      </w:pPr>
      <w:r>
        <w:rPr>
          <w:rFonts w:ascii="Arial" w:cs="Arial" w:eastAsia="Arial" w:hAnsi="Arial"/>
          <w:b/>
          <w:bCs/>
          <w:sz w:val="22"/>
          <w:szCs w:val="22"/>
        </w:rPr>
        <w:t xml:space="preserve">Pasul 2: Actualizează software-ul de facturare</w:t>
      </w:r>
    </w:p>
    <w:p>
      <w:pPr>
        <w:spacing w:after="200" w:line="276"/>
        <w:jc w:val="both"/>
      </w:pPr>
      <w:r>
        <w:rPr>
          <w:rFonts w:ascii="Arial" w:cs="Arial" w:eastAsia="Arial" w:hAnsi="Arial"/>
          <w:sz w:val="22"/>
          <w:szCs w:val="22"/>
        </w:rPr>
        <w:t xml:space="preserve">Verifică dacă aplicația de facturare permite generarea fișierelor XML și transmiterea automată în e-Factura. Majoritatea furnizorilor au actualizat deja aplicațiile.</w:t>
      </w:r>
    </w:p>
    <w:p>
      <w:pPr>
        <w:pStyle w:val="Heading3"/>
        <w:spacing w:before="200" w:after="100"/>
      </w:pPr>
      <w:r>
        <w:rPr>
          <w:rFonts w:ascii="Arial" w:cs="Arial" w:eastAsia="Arial" w:hAnsi="Arial"/>
          <w:b/>
          <w:bCs/>
          <w:sz w:val="22"/>
          <w:szCs w:val="22"/>
        </w:rPr>
        <w:t xml:space="preserve">Pasul 3: Configurează fluxul automat</w:t>
      </w:r>
    </w:p>
    <w:p>
      <w:pPr>
        <w:spacing w:after="200" w:line="276"/>
        <w:jc w:val="both"/>
      </w:pPr>
      <w:r>
        <w:rPr>
          <w:rFonts w:ascii="Arial" w:cs="Arial" w:eastAsia="Arial" w:hAnsi="Arial"/>
          <w:sz w:val="22"/>
          <w:szCs w:val="22"/>
        </w:rPr>
        <w:t xml:space="preserve">Setează transmiterea automată a facturilor în e-Factura imediat după emitere, pentru a evita depășirea termenului de 5 zile lucrătoare.</w:t>
      </w:r>
    </w:p>
    <w:p>
      <w:pPr>
        <w:pStyle w:val="Heading3"/>
        <w:spacing w:before="200" w:after="100"/>
      </w:pPr>
      <w:r>
        <w:rPr>
          <w:rFonts w:ascii="Arial" w:cs="Arial" w:eastAsia="Arial" w:hAnsi="Arial"/>
          <w:b/>
          <w:bCs/>
          <w:sz w:val="22"/>
          <w:szCs w:val="22"/>
        </w:rPr>
        <w:t xml:space="preserve">Pasul 4: Instruiește personalul</w:t>
      </w:r>
    </w:p>
    <w:p>
      <w:pPr>
        <w:spacing w:after="200" w:line="276"/>
        <w:jc w:val="both"/>
      </w:pPr>
      <w:r>
        <w:rPr>
          <w:rFonts w:ascii="Arial" w:cs="Arial" w:eastAsia="Arial" w:hAnsi="Arial"/>
          <w:sz w:val="22"/>
          <w:szCs w:val="22"/>
        </w:rPr>
        <w:t xml:space="preserve">Asigură-te că toți cei implicați în procesul de facturare cunosc obligațiile și procedurile pentru e-Factura B2C.</w:t>
      </w:r>
    </w:p>
    <w:p>
      <w:pPr>
        <w:pStyle w:val="Heading3"/>
        <w:spacing w:before="200" w:after="100"/>
      </w:pPr>
      <w:r>
        <w:rPr>
          <w:rFonts w:ascii="Arial" w:cs="Arial" w:eastAsia="Arial" w:hAnsi="Arial"/>
          <w:b/>
          <w:bCs/>
          <w:sz w:val="22"/>
          <w:szCs w:val="22"/>
        </w:rPr>
        <w:t xml:space="preserve">Pasul 5: Monitorizează SPV-ul</w:t>
      </w:r>
    </w:p>
    <w:p>
      <w:pPr>
        <w:spacing w:after="200" w:line="276"/>
        <w:jc w:val="both"/>
      </w:pPr>
      <w:r>
        <w:rPr>
          <w:rFonts w:ascii="Arial" w:cs="Arial" w:eastAsia="Arial" w:hAnsi="Arial"/>
          <w:sz w:val="22"/>
          <w:szCs w:val="22"/>
        </w:rPr>
        <w:t xml:space="preserve">Verifică periodic că toate facturile au fost transmise cu succes și nu există erori de validare.</w:t>
      </w:r>
    </w:p>
    <w:p>
      <w:pPr>
        <w:spacing w:after="200"/>
      </w:pPr>
    </w:p>
    <w:p>
      <w:pPr>
        <w:pStyle w:val="Heading1"/>
        <w:spacing w:before="400" w:after="200"/>
      </w:pPr>
      <w:r>
        <w:rPr>
          <w:rFonts w:ascii="Arial" w:cs="Arial" w:eastAsia="Arial" w:hAnsi="Arial"/>
          <w:b/>
          <w:bCs/>
          <w:color w:val="1B365D"/>
          <w:sz w:val="32"/>
          <w:szCs w:val="32"/>
        </w:rPr>
        <w:t xml:space="preserve">8. Întrebări Frecvente (FAQ)</w:t>
      </w:r>
    </w:p>
    <w:p>
      <w:pPr>
        <w:pStyle w:val="Heading3"/>
        <w:spacing w:before="200" w:after="100"/>
      </w:pPr>
      <w:r>
        <w:rPr>
          <w:rFonts w:ascii="Arial" w:cs="Arial" w:eastAsia="Arial" w:hAnsi="Arial"/>
          <w:b/>
          <w:bCs/>
          <w:sz w:val="22"/>
          <w:szCs w:val="22"/>
        </w:rPr>
        <w:t xml:space="preserve">Sunt obligat să transmit în e-Factura facturile emise către persoane fizice din UE sau din afara UE?</w:t>
      </w:r>
    </w:p>
    <w:p>
      <w:pPr>
        <w:spacing w:after="200" w:line="276"/>
        <w:jc w:val="both"/>
      </w:pPr>
      <w:r>
        <w:rPr>
          <w:rFonts w:ascii="Arial" w:cs="Arial" w:eastAsia="Arial" w:hAnsi="Arial"/>
          <w:sz w:val="22"/>
          <w:szCs w:val="22"/>
        </w:rPr>
        <w:t xml:space="preserve">Da, dacă locul livrării/prestării este în România. Factura se transmite în e-Factura, iar la CNP se utilizează codul de 13 zerouri.</w:t>
      </w:r>
    </w:p>
    <w:p>
      <w:pPr>
        <w:pStyle w:val="Heading3"/>
        <w:spacing w:before="200" w:after="100"/>
      </w:pPr>
      <w:r>
        <w:rPr>
          <w:rFonts w:ascii="Arial" w:cs="Arial" w:eastAsia="Arial" w:hAnsi="Arial"/>
          <w:b/>
          <w:bCs/>
          <w:sz w:val="22"/>
          <w:szCs w:val="22"/>
        </w:rPr>
        <w:t xml:space="preserve">Clienții mei persoane fizice trebuie să se înregistreze în SPV?</w:t>
      </w:r>
    </w:p>
    <w:p>
      <w:pPr>
        <w:spacing w:after="200" w:line="276"/>
        <w:jc w:val="both"/>
      </w:pPr>
      <w:r>
        <w:rPr>
          <w:rFonts w:ascii="Arial" w:cs="Arial" w:eastAsia="Arial" w:hAnsi="Arial"/>
          <w:sz w:val="22"/>
          <w:szCs w:val="22"/>
        </w:rPr>
        <w:t xml:space="preserve">NU. Persoanele fizice nu au nicio obligație de a accesa SPV sau de a descărca facturi. Ei primesc factura în mod clasic (hârtie sau e-mail).</w:t>
      </w:r>
    </w:p>
    <w:p>
      <w:pPr>
        <w:pStyle w:val="Heading3"/>
        <w:spacing w:before="200" w:after="100"/>
      </w:pPr>
      <w:r>
        <w:rPr>
          <w:rFonts w:ascii="Arial" w:cs="Arial" w:eastAsia="Arial" w:hAnsi="Arial"/>
          <w:b/>
          <w:bCs/>
          <w:sz w:val="22"/>
          <w:szCs w:val="22"/>
        </w:rPr>
        <w:t xml:space="preserve">Sunt medic/dentist. Trebuie să transmit facturi în e-Factura?</w:t>
      </w:r>
    </w:p>
    <w:p>
      <w:pPr>
        <w:spacing w:after="200" w:line="276"/>
        <w:jc w:val="both"/>
      </w:pPr>
      <w:r>
        <w:rPr>
          <w:rFonts w:ascii="Arial" w:cs="Arial" w:eastAsia="Arial" w:hAnsi="Arial"/>
          <w:sz w:val="22"/>
          <w:szCs w:val="22"/>
        </w:rPr>
        <w:t xml:space="preserve">Serviciile medicale și stomatologice sunt scutite de TVA și, în general, nu există obligația emiterii de factură. Dacă totuși emiți factură (de exemplu, pentru servicii estetice taxabile), aceasta trebuie transmisă în e-Factura.</w:t>
      </w:r>
    </w:p>
    <w:p>
      <w:pPr>
        <w:pStyle w:val="Heading3"/>
        <w:spacing w:before="200" w:after="100"/>
      </w:pPr>
      <w:r>
        <w:rPr>
          <w:rFonts w:ascii="Arial" w:cs="Arial" w:eastAsia="Arial" w:hAnsi="Arial"/>
          <w:b/>
          <w:bCs/>
          <w:sz w:val="22"/>
          <w:szCs w:val="22"/>
        </w:rPr>
        <w:t xml:space="preserve">Am un magazin online. Cum procedez?</w:t>
      </w:r>
    </w:p>
    <w:p>
      <w:pPr>
        <w:spacing w:after="200" w:line="276"/>
        <w:jc w:val="both"/>
      </w:pPr>
      <w:r>
        <w:rPr>
          <w:rFonts w:ascii="Arial" w:cs="Arial" w:eastAsia="Arial" w:hAnsi="Arial"/>
          <w:sz w:val="22"/>
          <w:szCs w:val="22"/>
        </w:rPr>
        <w:t xml:space="preserve">Toate facturile emise către clienții persoane fizice trebuie transmise în e-Factura în termen de 5 zile lucrătoare. Configurează aplicația de facturare pentru transmitere automată.</w:t>
      </w:r>
    </w:p>
    <w:p>
      <w:pPr>
        <w:pStyle w:val="Heading3"/>
        <w:spacing w:before="200" w:after="100"/>
      </w:pPr>
      <w:r>
        <w:rPr>
          <w:rFonts w:ascii="Arial" w:cs="Arial" w:eastAsia="Arial" w:hAnsi="Arial"/>
          <w:b/>
          <w:bCs/>
          <w:sz w:val="22"/>
          <w:szCs w:val="22"/>
        </w:rPr>
        <w:t xml:space="preserve">Ce fac dacă sistemul ANAF nu funcționează?</w:t>
      </w:r>
    </w:p>
    <w:p>
      <w:pPr>
        <w:spacing w:after="200" w:line="276"/>
        <w:jc w:val="both"/>
      </w:pPr>
      <w:r>
        <w:rPr>
          <w:rFonts w:ascii="Arial" w:cs="Arial" w:eastAsia="Arial" w:hAnsi="Arial"/>
          <w:sz w:val="22"/>
          <w:szCs w:val="22"/>
        </w:rPr>
        <w:t xml:space="preserve">Păstrează dovada încercărilor de transmitere. În cazul indisponibilității sistemului, documentează situația și transmite imediat ce sistemul devine disponibil.</w:t>
      </w:r>
    </w:p>
    <w:p>
      <w:pPr>
        <w:pStyle w:val="Heading3"/>
        <w:spacing w:before="200" w:after="100"/>
      </w:pPr>
      <w:r>
        <w:rPr>
          <w:rFonts w:ascii="Arial" w:cs="Arial" w:eastAsia="Arial" w:hAnsi="Arial"/>
          <w:b/>
          <w:bCs/>
          <w:sz w:val="22"/>
          <w:szCs w:val="22"/>
        </w:rPr>
        <w:t xml:space="preserve">Pot primi o singură amendă pentru mai multe facturi netransmise?</w:t>
      </w:r>
    </w:p>
    <w:p>
      <w:pPr>
        <w:spacing w:after="200" w:line="276"/>
        <w:jc w:val="both"/>
      </w:pPr>
      <w:r>
        <w:rPr>
          <w:rFonts w:ascii="Arial" w:cs="Arial" w:eastAsia="Arial" w:hAnsi="Arial"/>
          <w:sz w:val="22"/>
          <w:szCs w:val="22"/>
        </w:rPr>
        <w:t xml:space="preserve">Conform legislației anterioare (Legea 296/2023), o singură amendă pe lună pentru mai multe facturi. Însă de la 1 iulie 2024, fiecare factură netransmisă poate teoretic atrage amendă separată.</w:t>
      </w:r>
    </w:p>
    <w:p>
      <w:pPr>
        <w:spacing w:after="40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1B365D" w:sz="2"/>
              <w:left w:val="single" w:color="1B365D" w:sz="2"/>
              <w:bottom w:val="single" w:color="1B365D" w:sz="2"/>
              <w:right w:val="single" w:color="1B365D" w:sz="2"/>
            </w:tcBorders>
            <w:shd w:fill="F5F5F5" w:val="clear"/>
            <w:tcMar>
              <w:top w:type="dxa" w:w="200"/>
              <w:left w:type="dxa" w:w="250"/>
              <w:bottom w:type="dxa" w:w="200"/>
              <w:right w:type="dxa" w:w="250"/>
            </w:tcMar>
          </w:tcPr>
          <w:p>
            <w:pPr>
              <w:spacing w:after="150"/>
              <w:jc w:val="center"/>
            </w:pPr>
            <w:r>
              <w:drawing>
                <wp:inline distT="0" distB="0" distL="0" distR="0">
                  <wp:extent cx="714375" cy="714375"/>
                  <wp:effectExtent t="0" r="0" b="0" l="0"/>
                  <wp:docPr id="1" name="Logo" descr="Compass logo" title="Pantilimon La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14375" cy="714375"/>
                          </a:xfrm>
                          <a:prstGeom prst="rect">
                            <a:avLst/>
                          </a:prstGeom>
                        </pic:spPr>
                      </pic:pic>
                    </a:graphicData>
                  </a:graphic>
                </wp:inline>
              </w:drawing>
            </w:r>
          </w:p>
          <w:p>
            <w:pPr>
              <w:spacing w:after="80"/>
              <w:jc w:val="center"/>
            </w:pPr>
            <w:r>
              <w:rPr>
                <w:rFonts w:ascii="Arial" w:cs="Arial" w:eastAsia="Arial" w:hAnsi="Arial"/>
                <w:b/>
                <w:bCs/>
                <w:sz w:val="26"/>
                <w:szCs w:val="26"/>
              </w:rPr>
              <w:t xml:space="preserve">Tel: 0740.011.411</w:t>
            </w:r>
          </w:p>
          <w:p>
            <w:pPr>
              <w:spacing w:after="80"/>
              <w:jc w:val="center"/>
            </w:pPr>
            <w:r>
              <w:rPr>
                <w:rFonts w:ascii="Arial" w:cs="Arial" w:eastAsia="Arial" w:hAnsi="Arial"/>
                <w:sz w:val="22"/>
                <w:szCs w:val="22"/>
              </w:rPr>
              <w:t xml:space="preserve">Email: office@pantilimon.ro  •  Web: www.pantilimon.ro</w:t>
            </w:r>
          </w:p>
          <w:p>
            <w:pPr>
              <w:spacing w:after="80"/>
              <w:jc w:val="center"/>
            </w:pPr>
            <w:r>
              <w:rPr>
                <w:rFonts w:ascii="Arial" w:cs="Arial" w:eastAsia="Arial" w:hAnsi="Arial"/>
                <w:sz w:val="22"/>
                <w:szCs w:val="22"/>
              </w:rPr>
              <w:t xml:space="preserve">Cabinet Avocatură Pantilimon Rikhárd</w:t>
            </w:r>
          </w:p>
          <w:p>
            <w:pPr>
              <w:jc w:val="center"/>
            </w:pPr>
            <w:r>
              <w:rPr>
                <w:rFonts w:ascii="Arial" w:cs="Arial" w:eastAsia="Arial" w:hAnsi="Arial"/>
                <w:color w:val="666666"/>
                <w:sz w:val="20"/>
                <w:szCs w:val="20"/>
              </w:rPr>
              <w:t xml:space="preserve">Str. Rodnei nr. 3, Ap. 1, Târgu Mureș, Mureș</w:t>
            </w:r>
          </w:p>
        </w:tc>
      </w:tr>
    </w:tbl>
    <w:p>
      <w:pPr>
        <w:spacing w:after="250"/>
      </w:pPr>
    </w:p>
    <w:p>
      <w:pPr>
        <w:spacing w:after="100"/>
        <w:jc w:val="both"/>
      </w:pPr>
      <w:r>
        <w:rPr>
          <w:rFonts w:ascii="Arial" w:cs="Arial" w:eastAsia="Arial" w:hAnsi="Arial"/>
          <w:b/>
          <w:bCs/>
          <w:sz w:val="20"/>
          <w:szCs w:val="20"/>
        </w:rPr>
        <w:t xml:space="preserve">Temei legal: </w:t>
      </w:r>
      <w:r>
        <w:rPr>
          <w:rFonts w:ascii="Arial" w:cs="Arial" w:eastAsia="Arial" w:hAnsi="Arial"/>
          <w:sz w:val="20"/>
          <w:szCs w:val="20"/>
        </w:rPr>
        <w:t xml:space="preserve">OUG nr. 120/2021 privind administrarea, funcționarea și implementarea sistemului național privind factura electronică RO e-Factura, cu modificările și completările ulterioare; OUG nr. 89/2025 pentru modificarea și completarea Legii nr. 227/2015 privind Codul fiscal; Legea nr. 227/2015 privind Codul fiscal, art. 319.</w:t>
      </w:r>
    </w:p>
    <w:p>
      <w:pPr>
        <w:spacing w:after="100"/>
        <w:jc w:val="both"/>
      </w:pPr>
      <w:r>
        <w:rPr>
          <w:rFonts w:ascii="Arial" w:cs="Arial" w:eastAsia="Arial" w:hAnsi="Arial"/>
          <w:b/>
          <w:bCs/>
          <w:color w:val="666666"/>
          <w:sz w:val="18"/>
          <w:szCs w:val="18"/>
        </w:rPr>
        <w:t xml:space="preserve">Notă: </w:t>
      </w:r>
      <w:r>
        <w:rPr>
          <w:rFonts w:ascii="Arial" w:cs="Arial" w:eastAsia="Arial" w:hAnsi="Arial"/>
          <w:color w:val="666666"/>
          <w:sz w:val="18"/>
          <w:szCs w:val="18"/>
        </w:rPr>
        <w:t xml:space="preserve">Prezentul material are caracter informativ și nu constituie consultanță juridică sau fiscală. Pentru analiza situației concrete privind obligațiile e-Factura, vă recomandăm consultarea unui specialist în fiscalitate sau a unui avocat.</w:t>
      </w:r>
    </w:p>
    <w:sectPr>
      <w:headerReference w:type="default" r:id="rId6"/>
      <w:footerReference w:type="default" r:id="rId7"/>
      <w:pgSz w:w="11906" w:h="16838" w:orient="portrait"/>
      <w:pgMar w:top="180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66666"/>
        <w:sz w:val="20"/>
        <w:szCs w:val="20"/>
      </w:rPr>
      <w:t xml:space="preserve">Pagina </w:t>
    </w:r>
    <w:r>
      <w:rPr>
        <w:rFonts w:ascii="Arial" w:cs="Arial" w:eastAsia="Arial" w:hAnsi="Arial"/>
        <w:color w:val="666666"/>
        <w:sz w:val="20"/>
        <w:szCs w:val="20"/>
      </w:rPr>
      <w:fldChar w:fldCharType="begin"/>
      <w:instrText xml:space="preserve">PAGE</w:instrText>
      <w:fldChar w:fldCharType="separate"/>
      <w:fldChar w:fldCharType="end"/>
    </w:r>
    <w:r>
      <w:rPr>
        <w:rFonts w:ascii="Arial" w:cs="Arial" w:eastAsia="Arial" w:hAnsi="Arial"/>
        <w:color w:val="666666"/>
        <w:sz w:val="20"/>
        <w:szCs w:val="20"/>
      </w:rPr>
      <w:t xml:space="preserve"> din </w:t>
    </w:r>
    <w:r>
      <w:rPr>
        <w:rFonts w:ascii="Arial" w:cs="Arial" w:eastAsia="Arial" w:hAnsi="Arial"/>
        <w:color w:val="666666"/>
        <w:sz w:val="20"/>
        <w:szCs w:val="20"/>
      </w:rPr>
      <w:fldChar w:fldCharType="begin"/>
      <w:instrText xml:space="preserve">NUMPAGES</w:instrText>
      <w:fldChar w:fldCharType="separate"/>
      <w:fldChar w:fldCharType="end"/>
    </w:r>
    <w:r>
      <w:rPr>
        <w:rFonts w:ascii="Arial" w:cs="Arial" w:eastAsia="Arial" w:hAnsi="Arial"/>
        <w:color w:val="999999"/>
        <w:sz w:val="18"/>
        <w:szCs w:val="18"/>
      </w:rPr>
      <w:t xml:space="preserve">  |  © 2026 Cabinet de Avocatură Pantilimon Rikhárd  |  Baroul Mureș</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sz="0"/>
        <w:left w:val="none" w:sz="0"/>
        <w:bottom w:val="none" w:sz="0"/>
        <w:right w:val="none" w:sz="0"/>
        <w:insideH w:val="none" w:sz="0"/>
        <w:insideV w:val="none" w:sz="0"/>
      </w:tblBorders>
    </w:tblPr>
    <w:tblGrid>
      <w:gridCol w:w="2000"/>
      <w:gridCol w:w="7000"/>
    </w:tblGrid>
    <w:tr>
      <w:tc>
        <w:tcPr>
          <w:tcW w:type="dxa" w:w="2000"/>
          <w:tcBorders>
            <w:top w:val="none"/>
            <w:left w:val="none"/>
            <w:bottom w:val="none"/>
            <w:right w:val="none"/>
          </w:tcBorders>
          <w:tcMar>
            <w:left w:type="dxa" w:w="10"/>
            <w:right w:type="dxa" w:w="10"/>
          </w:tcMar>
        </w:tcPr>
        <w:p>
          <w:r>
            <w:drawing>
              <wp:inline distT="0" distB="0" distL="0" distR="0">
                <wp:extent cx="495300" cy="495300"/>
                <wp:effectExtent t="0" r="0" b="0" l="0"/>
                <wp:docPr id="1" name="Logo" descr="Compass logo" title="Pantilimon La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495300" cy="495300"/>
                        </a:xfrm>
                        <a:prstGeom prst="rect">
                          <a:avLst/>
                        </a:prstGeom>
                      </pic:spPr>
                    </pic:pic>
                  </a:graphicData>
                </a:graphic>
              </wp:inline>
            </w:drawing>
          </w:r>
        </w:p>
      </w:tc>
      <w:tc>
        <w:tcPr>
          <w:tcW w:type="dxa" w:w="7000"/>
          <w:tcBorders>
            <w:top w:val="none"/>
            <w:left w:val="none"/>
            <w:bottom w:val="none"/>
            <w:right w:val="none"/>
          </w:tcBorders>
          <w:tcMar>
            <w:left w:type="dxa" w:w="10"/>
            <w:right w:type="dxa" w:w="10"/>
          </w:tcMar>
        </w:tcPr>
        <w:p>
          <w:r>
            <w:rPr>
              <w:rFonts w:ascii="Arial" w:cs="Arial" w:eastAsia="Arial" w:hAnsi="Arial"/>
              <w:color w:val="444444"/>
              <w:sz w:val="20"/>
              <w:szCs w:val="20"/>
            </w:rPr>
            <w:t xml:space="preserve">Tel: 0740.011.411  |  office@pantilimon.ro  |  www.pantilimon.ro</w:t>
          </w:r>
        </w:p>
      </w:tc>
    </w:tr>
  </w:tbl>
  <w:p>
    <w:pPr>
      <w:pBdr>
        <w:bottom w:val="single" w:color="1B365D" w:sz="12"/>
      </w:pBdr>
      <w:spacing w:before="100" w:after="20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image" Target="media/cf5e81119273922c2daaecd25b532bf7eeeae654.jpg"/><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cf5e81119273922c2daaecd25b532bf7eeeae654.jp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2026-01-06T12:19:10.109Z</dcterms:created>
  <dcterms:modified xsi:type="dcterms:W3CDTF">2026-01-06T12:19:10.110Z</dcterms:modified>
</cp:coreProperties>
</file>

<file path=docProps/custom.xml><?xml version="1.0" encoding="utf-8"?>
<Properties xmlns="http://schemas.openxmlformats.org/officeDocument/2006/custom-properties" xmlns:vt="http://schemas.openxmlformats.org/officeDocument/2006/docPropsVTypes"/>
</file>