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1B365D"/>
          <w:sz w:val="48"/>
          <w:szCs w:val="48"/>
        </w:rPr>
        <w:t xml:space="preserve">ÎNFIINȚARE SRL ÎN 2026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sz w:val="26"/>
          <w:szCs w:val="26"/>
        </w:rPr>
        <w:t xml:space="preserve">Ghid Complet: Capital Social Nou, Acte Necesare și Costuri Actualizate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Actualizat: Ianuarie 2026 |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Autor: Rikhard Pantilimon |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Timp de citire: 12 minute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Introducere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Înființarea unui SRL (Societate cu Răspundere Limitată) rămâne cea mai populară formă de organizare a afacerilor în România, oferind flexibilitate și protecție patrimonială. Totuși, anul 2026 aduce modificări legislative semnificative prin Legea nr. 239/2025, care schimbă fundamental cerințele privind capitalul social minim.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Acest ghid prezintă procedura completă de înființare a unui SRL conform legislației în vigoare la 1 ianuarie 2026, incluzând noile praguri de capital social, documentația necesară, costurile implicate și cele mai frecvente greșeli de evitat.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⚠️ NOUTATE LEGISLATIVĂ 2026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Legea nr. 239/2025 introduce cerințe diferențiate de capital social: 500 lei pentru societățile nou-înființate și 5.000 lei pentru cele cu cifră de afaceri peste 400.000 lei. Termenul de conformare pentru societățile existente este de 2 ani.</w:t>
            </w:r>
          </w:p>
        </w:tc>
      </w:tr>
    </w:tbl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1. Noile Cerințe de Capital Social în 2026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Legea nr. 239/2025 privind stabilirea unor măsuri de redresare și eficientizare a resurselor publice modifică substanțial regimul capitalului social pentru societățile cu răspundere limitată.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1.1. Capitalul Social pentru Societăți Nou-Înființate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Începând cu intrarea în vigoare a Legii 239/2025, capitalul social minim pentru un SRL nou-înființat este de 500 lei. Această sumă reprezintă o creștere semnificativă față de minimul anterior de 1 leu, dar rămâne accesibilă pentru majoritatea antreprenorilor.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1.2. Pragul de 400.000 lei Cifră de Afaceri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Pentru societățile care înregistrează o cifră de afaceri anuală ce depășește pragul de 400.000 lei, se instituie obligația de a avea un capital social minim de 5.000 lei. Această măsură vizează consolidarea credibilității financiare a societăților active pe piață.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Tabel: Cerințe Capital Social 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Situație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Capital Minim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Termen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SRL nou-înființat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500 lei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Imediat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SRL existent, CA &gt; 400.000 lei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5.000 lei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2 ani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SRL existent, CA &lt; 400.000 lei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Fără modificare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N/A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2. Actele Necesare pentru Înființarea unui SRL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Dosarul de înființare trebuie depus la Oficiul Registrului Comerțului (ORC) din județul în care se stabilește sediul social. Lista completă a documentelor necesare include: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2.1. Documente Obligatorii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Cererea de înregistrare: </w:t>
      </w:r>
      <w:r>
        <w:rPr>
          <w:rFonts w:ascii="Arial" w:cs="Arial" w:eastAsia="Arial" w:hAnsi="Arial"/>
          <w:sz w:val="22"/>
          <w:szCs w:val="22"/>
        </w:rPr>
        <w:t xml:space="preserve">Formularul tip se obține de la ORC sau se descarcă de pe site-ul oficial www.onrc.ro. Cererea trebuie completată integral și semnată de fondator sau de împuternicit.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Actul constitutiv: </w:t>
      </w:r>
      <w:r>
        <w:rPr>
          <w:rFonts w:ascii="Arial" w:cs="Arial" w:eastAsia="Arial" w:hAnsi="Arial"/>
          <w:sz w:val="22"/>
          <w:szCs w:val="22"/>
        </w:rPr>
        <w:t xml:space="preserve">Documentul fundamental care stabilește regulile de funcționare ale societății. Trebuie să conțină: denumirea și forma juridică, sediul social, obiectul de activitate (CAEN principal și secundare), capitalul social și repartizarea părților sociale, datele de identificare ale asociaților și administratorilor, durata societății.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Dovada sediului social: </w:t>
      </w:r>
      <w:r>
        <w:rPr>
          <w:rFonts w:ascii="Arial" w:cs="Arial" w:eastAsia="Arial" w:hAnsi="Arial"/>
          <w:sz w:val="22"/>
          <w:szCs w:val="22"/>
        </w:rPr>
        <w:t xml:space="preserve">Contract de închiriere, comodat sau act de proprietate. Pentru spații în clădiri de locuințe, este necesar acordul asociației de proprietari pentru schimbarea destinației.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Dovada capitalului social: </w:t>
      </w:r>
      <w:r>
        <w:rPr>
          <w:rFonts w:ascii="Arial" w:cs="Arial" w:eastAsia="Arial" w:hAnsi="Arial"/>
          <w:sz w:val="22"/>
          <w:szCs w:val="22"/>
        </w:rPr>
        <w:t xml:space="preserve">Extras de cont sau chitanță de depunere la o instituție bancară din România. Capitalul trebuie depus integral la înființare.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Specimen de semnătură administrator: </w:t>
      </w:r>
      <w:r>
        <w:rPr>
          <w:rFonts w:ascii="Arial" w:cs="Arial" w:eastAsia="Arial" w:hAnsi="Arial"/>
          <w:sz w:val="22"/>
          <w:szCs w:val="22"/>
        </w:rPr>
        <w:t xml:space="preserve">Se poate da în fața notarului public sau direct la ORC.</w:t>
      </w:r>
    </w:p>
    <w:p>
      <w:pPr>
        <w:spacing w:after="20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Declarații pe propria răspundere: </w:t>
      </w:r>
      <w:r>
        <w:rPr>
          <w:rFonts w:ascii="Arial" w:cs="Arial" w:eastAsia="Arial" w:hAnsi="Arial"/>
          <w:sz w:val="22"/>
          <w:szCs w:val="22"/>
        </w:rPr>
        <w:t xml:space="preserve">Privind îndeplinirea condițiilor legale pentru funcția de asociat/administrator și respectarea normelor de igienă, protecția mediului, PSI (după caz).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2.2. Documente Suplimentare (după caz)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Pentru cetățeni străini non-UE: permis de ședere sau dovada dreptului de muncă în România. Pentru persoane juridice fondatoare: certificat constatator și hotărârea organului statutar privind participarea la constituire. Pentru activități reglementate: autorizații/avize specifice (ANSVSA, DSP, ISU etc.).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3. Procedura Pas cu Pas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1: Verificarea și Rezervarea Denumirii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Verificați disponibilitatea denumirii dorite pe portalul ONRC (gratuit, online). Rezervarea numelui costă aproximativ 72 lei și este valabilă 3 luni. Denumirea trebuie să fie distinctivă și să nu inducă în eroare cu privire la obiectul de activitate.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2: Redactarea Actului Constitutiv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Actul constitutiv poate fi redactat în formă de înscris sub semnătură privată (nu necesită notar) pentru majoritatea SRL-urilor. Recomandăm consultarea unui avocat pentru clauze personalizate privind: dreptul de preempțiune, clauze de neconcurență, procedura de cesiune a părților sociale, distribuirea profitului.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3: Depunerea Capitalului Social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Deschideți un cont la o bancă din România pe numele societății în curs de constituire. Depuneți integral capitalul social subscris (minim 500 lei). Obțineți extras de cont sau chitanță care să ateste depunerea.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4: Depunerea Dosarului la ORC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Dosarul complet se depune la ghișeu sau online prin portalul ONRC. Taxa de înregistrare este de aproximativ 150-200 lei (variază în funcție de servicii). Termenul de soluționare este de 3 zile lucrătoare de la depunerea dosarului complet.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Pasul 5: Obținerea Documentelor de Înființare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După înregistrare veți primi: Certificatul de Înregistrare (conține CUI și numărul de ordine din Registrul Comerțului), Certificat constatator, Actul constitutiv autentificat/certificat. Codul unic de identificare fiscală (CUI) este atribuit automat de ANAF.</w:t>
      </w:r>
    </w:p>
    <w:p>
      <w:pPr>
        <w:spacing w:after="2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4. Costuri Înființare SRL în 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Element de cost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E0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Sumă estimativă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Capital social minim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500 lei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Rezervare denumire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72 lei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Taxă înregistrare ORC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150-200 lei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Registrul Unic de Control (ANAF)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30 lei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Onorariu avocat (opțional, recomandat)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500-1.500 lei</w:t>
            </w:r>
          </w:p>
        </w:tc>
      </w:tr>
      <w:tr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 ESTIMATIV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1.250-2.500 lei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5. Greșeli Frecvente de Evitat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5.1. Alegerea Greșită a Codului CAEN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Codul CAEN principal determină regimul fiscal, obligațiile de autorizare și posibilitatea de a beneficia de anumite facilități. Verificați dacă activitatea reală corespunde codului ales. Pentru unele coduri CAEN sunt necesare autorizații speciale (de exemplu, pentru construcții, transport, alimentație publică).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5.2. Sediul Social Neconform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Multe societăți sunt declarate inactive fiscal pentru probleme legate de sediul social. Asigurați-vă că: adresa este corectă și completă, există acord pentru schimbarea destinației (dacă e cazul), contractul de sediu este valabil și înregistrat.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5.3. Lipsa Planificării Fiscale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Regimul de impozitare (microîntreprindere vs. impozit pe profit) are consecințe majore. De la 1 ianuarie 2026, pragul pentru microîntreprinderi este de 100.000 EUR, iar cotele de impozitare variază în funcție de numărul de angajați. Consultați un specialist fiscal înainte de înființare.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⚠️ RISC DE INACTIVARE FISCALĂ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Conform Legii 239/2025, societățile declarate inactive care nu se reactivează în termen de 1 an vor fi dizolvate din oficiu. ANAF are obligația de a formula cerere de dizolvare. Verificați periodic statusul fiscal pe portalul ANAF.</w:t>
            </w:r>
          </w:p>
        </w:tc>
      </w:tr>
    </w:tbl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6. Obligații Post-Înregistrare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6.1. În Primele 30 de Zile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Obțineți Registrul Unic de Control de la ANAF (obligatoriu pentru controale fiscale). Înregistrați-vă în Spațiul Privat Virtual (SPV) ANAF pentru comunicări electronice. Configurați contabilitatea și desemnați un contabil autorizat sau expert contabil.</w:t>
      </w:r>
    </w:p>
    <w:p>
      <w:pPr>
        <w:pStyle w:val="Heading2"/>
        <w:spacing w:before="300" w:after="150"/>
      </w:pPr>
      <w:r>
        <w:rPr>
          <w:rFonts w:ascii="Arial" w:cs="Arial" w:eastAsia="Arial" w:hAnsi="Arial"/>
          <w:b/>
          <w:bCs/>
          <w:color w:val="1B365D"/>
          <w:sz w:val="26"/>
          <w:szCs w:val="26"/>
        </w:rPr>
        <w:t xml:space="preserve">6.2. Obligații Permanente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Depunerea situațiilor financiare anuale (termen: 150 zile de la închiderea exercițiului). Transmiterea e-Factura pentru toate tranzacțiile B2B și B2C (obligatoriu din 2025). Plata impozitelor și contribuțiilor la termen. Actualizarea datelor la ORC în caz de modificări.</w:t>
      </w:r>
    </w:p>
    <w:p>
      <w:pPr>
        <w:spacing w:after="300"/>
      </w:pPr>
    </w:p>
    <w:p>
      <w:pPr>
        <w:pStyle w:val="Heading1"/>
        <w:spacing w:before="400" w:after="200"/>
      </w:pPr>
      <w:r>
        <w:rPr>
          <w:rFonts w:ascii="Arial" w:cs="Arial" w:eastAsia="Arial" w:hAnsi="Arial"/>
          <w:b/>
          <w:bCs/>
          <w:color w:val="1B365D"/>
          <w:sz w:val="32"/>
          <w:szCs w:val="32"/>
        </w:rPr>
        <w:t xml:space="preserve">7. Întrebări Frecvente (FAQ)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Pot înființa un SRL dacă sunt angajat cu normă întreagă?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Da. Nu există interdicție legală. Trebuie doar să verificați dacă contractul de muncă nu conține o clauză de neconcurență care ar interzice activitatea în domeniul SRL-ului.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Câți asociați poate avea un SRL?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Minimum 1 (SRL cu asociat unic), maximum 50 de asociați. Pentru mai mult de 50 de asociați, trebuie aleasă forma de societate pe acțiuni (SA).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Pot fi administrator fără să fiu asociat?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Da. Administratorul poate fi o persoană din afara societății, numită prin actul constitutiv sau prin hotărârea asociaților.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Este obligatorie înregistrarea ca plătitor de TVA?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Nu de la început. Înregistrarea în scopuri de TVA devine obligatorie când cifra de afaceri depășește plafonul de scutire (395.000 lei în 2026). Există și opțiunea înregistrării voluntare.</w:t>
      </w:r>
    </w:p>
    <w:p>
      <w:pPr>
        <w:pStyle w:val="Heading3"/>
        <w:spacing w:before="2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Cât durează procedura de înființare?</w:t>
      </w:r>
    </w:p>
    <w:p>
      <w:pPr>
        <w:spacing w:after="2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Cu toate documentele complete: 3-5 zile lucrătoare. Cu serviciu de urgență (taxă suplimentară): 24-48 ore.</w:t>
      </w:r>
    </w:p>
    <w:p>
      <w:pPr>
        <w:spacing w:after="4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B365D" w:sz="2"/>
              <w:left w:val="single" w:color="1B365D" w:sz="2"/>
              <w:bottom w:val="single" w:color="1B365D" w:sz="2"/>
              <w:right w:val="single" w:color="1B365D" w:sz="2"/>
            </w:tcBorders>
            <w:shd w:fill="F5F5F5" w:val="clear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50"/>
              <w:jc w:val="center"/>
            </w:pPr>
            <w:r>
              <w:drawing>
                <wp:inline distT="0" distB="0" distL="0" distR="0">
                  <wp:extent cx="714375" cy="714375"/>
                  <wp:effectExtent t="0" r="0" b="0" l="0"/>
                  <wp:docPr id="1" name="Logo" descr="Compass logo" title="Pantilimon Law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Tel: 0740.011.411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Email: office@pantilimon.ro  •  Web: www.pantilimon.ro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Cabinet Avocatură Pantilimon Rikhárd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Str. Rodnei nr. 3, Ap. 1, Târgu Mureș, Mureș</w:t>
            </w:r>
          </w:p>
        </w:tc>
      </w:tr>
    </w:tbl>
    <w:p>
      <w:pPr>
        <w:spacing w:after="250"/>
      </w:pP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Temei legal: </w:t>
      </w:r>
      <w:r>
        <w:rPr>
          <w:rFonts w:ascii="Arial" w:cs="Arial" w:eastAsia="Arial" w:hAnsi="Arial"/>
          <w:sz w:val="20"/>
          <w:szCs w:val="20"/>
        </w:rPr>
        <w:t xml:space="preserve">Legea nr. 239/2025 pentru stabilirea unor măsuri de redresare și eficientizare a resurselor publice și pentru modificarea și completarea unor acte normative (M.Of. nr. 1160 din 15 decembrie 2025); Legea nr. 31/1990 privind societățile, cu modificările și completările ulterioare.</w:t>
      </w: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color w:val="666666"/>
          <w:sz w:val="18"/>
          <w:szCs w:val="18"/>
        </w:rPr>
        <w:t xml:space="preserve">Notă: 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Prezentul material are caracter informativ și nu constituie consultanță juridică. Pentru analiza situației concrete a societății dumneavoastră, vă recomandăm consultarea unui avocat specializat.</w:t>
      </w:r>
    </w:p>
    <w:sectPr>
      <w:headerReference w:type="default" r:id="rId6"/>
      <w:footerReference w:type="default" r:id="rId7"/>
      <w:pgSz w:w="11906" w:h="16838" w:orient="portrait"/>
      <w:pgMar w:top="180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20"/>
        <w:szCs w:val="20"/>
      </w:rPr>
      <w:t xml:space="preserve">Pagina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20"/>
        <w:szCs w:val="20"/>
      </w:rPr>
      <w:t xml:space="preserve"> din </w:t>
    </w:r>
    <w:r>
      <w:rPr>
        <w:rFonts w:ascii="Arial" w:cs="Arial" w:eastAsia="Arial" w:hAnsi="Arial"/>
        <w:color w:val="666666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999999"/>
        <w:sz w:val="18"/>
        <w:szCs w:val="18"/>
      </w:rPr>
      <w:t xml:space="preserve">  |  © 2026 Cabinet de Avocatură Pantilimon Rikhárd  |  Baroul Mureș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sz="0"/>
        <w:left w:val="none" w:sz="0"/>
        <w:bottom w:val="none" w:sz="0"/>
        <w:right w:val="none" w:sz="0"/>
        <w:insideH w:val="none" w:sz="0"/>
        <w:insideV w:val="none" w:sz="0"/>
      </w:tblBorders>
    </w:tblPr>
    <w:tblGrid>
      <w:gridCol w:w="2000"/>
      <w:gridCol w:w="7000"/>
    </w:tblGrid>
    <w:tr>
      <w:tc>
        <w:tcPr>
          <w:tcW w:type="dxa" w:w="2000"/>
          <w:tcBorders>
            <w:top w:val="none" w:sz="0"/>
            <w:left w:val="none" w:sz="0"/>
            <w:bottom w:val="none" w:sz="0"/>
            <w:right w:val="none" w:sz="0"/>
          </w:tcBorders>
          <w:tcMar>
            <w:left w:type="dxa" w:w="10"/>
            <w:right w:type="dxa" w:w="10"/>
          </w:tcMar>
        </w:tcPr>
        <w:p>
          <w:r>
            <w:drawing>
              <wp:inline distT="0" distB="0" distL="0" distR="0">
                <wp:extent cx="495300" cy="495300"/>
                <wp:effectExtent t="0" r="0" b="0" l="0"/>
                <wp:docPr id="1" name="Logo" descr="Compass logo" title="Pantilimon Law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00"/>
          <w:tcBorders>
            <w:top w:val="none" w:sz="0"/>
            <w:left w:val="none" w:sz="0"/>
            <w:bottom w:val="none" w:sz="0"/>
            <w:right w:val="none" w:sz="0"/>
          </w:tcBorders>
          <w:tcMar>
            <w:left w:type="dxa" w:w="10"/>
            <w:right w:type="dxa" w:w="10"/>
          </w:tcMar>
        </w:tcPr>
        <w:p>
          <w:r>
            <w:rPr>
              <w:rFonts w:ascii="Arial" w:cs="Arial" w:eastAsia="Arial" w:hAnsi="Arial"/>
              <w:color w:val="444444"/>
              <w:sz w:val="20"/>
              <w:szCs w:val="20"/>
            </w:rPr>
            <w:t xml:space="preserve">Tel: 0740.011.411  |  office@pantilimon.ro  |  www.pantilimon.ro</w:t>
          </w:r>
        </w:p>
      </w:tc>
    </w:tr>
  </w:tbl>
  <w:p>
    <w:pPr>
      <w:pBdr>
        <w:bottom w:val="single" w:color="1B365D" w:sz="12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400" w:after="200"/>
      <w:outlineLvl w:val="0"/>
    </w:pPr>
    <w:rPr>
      <w:rFonts w:ascii="Arial" w:cs="Arial" w:eastAsia="Arial" w:hAnsi="Arial"/>
      <w:b/>
      <w:bCs/>
      <w:color w:val="1B365D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  <w:outlineLvl w:val="1"/>
    </w:pPr>
    <w:rPr>
      <w:rFonts w:ascii="Arial" w:cs="Arial" w:eastAsia="Arial" w:hAnsi="Arial"/>
      <w:b/>
      <w:bCs/>
      <w:color w:val="1B365D"/>
      <w:sz w:val="26"/>
      <w:szCs w:val="26"/>
    </w:rPr>
  </w:style>
  <w:style w:type="paragraph" w:styleId="Heading3">
    <w:name w:val="Heading 3"/>
    <w:basedOn w:val="Normal"/>
    <w:next w:val="Normal"/>
    <w:qFormat/>
    <w:pPr>
      <w:spacing w:before="200" w:after="1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cf5e81119273922c2daaecd25b532bf7eeeae654.jp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5e81119273922c2daaecd25b532bf7eeeae654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2026-01-06T12:07:24.198Z</dcterms:created>
  <dcterms:modified xsi:type="dcterms:W3CDTF">2026-01-06T12:07:24.198Z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