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rFonts w:ascii="Arial" w:cs="Arial" w:eastAsia="Arial" w:hAnsi="Arial"/>
          <w:b/>
          <w:bCs/>
          <w:color w:val="1B365D"/>
          <w:sz w:val="48"/>
          <w:szCs w:val="48"/>
        </w:rPr>
        <w:t xml:space="preserve">CONCEDIEREA ÎN 2026</w:t>
      </w:r>
    </w:p>
    <w:p>
      <w:pPr>
        <w:spacing w:after="400"/>
        <w:jc w:val="center"/>
      </w:pPr>
      <w:r>
        <w:rPr>
          <w:rFonts w:ascii="Arial" w:cs="Arial" w:eastAsia="Arial" w:hAnsi="Arial"/>
          <w:i/>
          <w:iCs/>
          <w:sz w:val="26"/>
          <w:szCs w:val="26"/>
        </w:rPr>
        <w:t xml:space="preserve">Ghid Complet: Proceduri, Termene și Drepturi pentru Angajatori și Salariați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0E0E0" w:val="clear"/>
            <w:tcMar>
              <w:top w:type="dxa" w:w="100"/>
              <w:left w:type="dxa" w:w="150"/>
              <w:bottom w:type="dxa" w:w="100"/>
              <w:right w:type="dxa" w:w="150"/>
            </w:tcMar>
          </w:tcPr>
          <w:p>
            <w:r>
              <w:rPr>
                <w:rFonts w:ascii="Arial" w:cs="Arial" w:eastAsia="Arial" w:hAnsi="Arial"/>
                <w:sz w:val="20"/>
                <w:szCs w:val="20"/>
              </w:rPr>
              <w:t xml:space="preserve">Actualizat: Ianuarie 2026 | </w:t>
            </w:r>
            <w:r>
              <w:rPr>
                <w:rFonts w:ascii="Arial" w:cs="Arial" w:eastAsia="Arial" w:hAnsi="Arial"/>
                <w:sz w:val="20"/>
                <w:szCs w:val="20"/>
              </w:rPr>
              <w:t xml:space="preserve">Autor: Rikhard Pantilimon | </w:t>
            </w:r>
            <w:r>
              <w:rPr>
                <w:rFonts w:ascii="Arial" w:cs="Arial" w:eastAsia="Arial" w:hAnsi="Arial"/>
                <w:sz w:val="20"/>
                <w:szCs w:val="20"/>
              </w:rPr>
              <w:t xml:space="preserve">Timp de citire: 15 minute</w:t>
            </w:r>
          </w:p>
        </w:tc>
      </w:tr>
    </w:tbl>
    <w:p>
      <w:pPr>
        <w:spacing w:after="300"/>
      </w:pPr>
    </w:p>
    <w:p>
      <w:pPr>
        <w:pStyle w:val="Heading1"/>
        <w:spacing w:before="400" w:after="200"/>
      </w:pPr>
      <w:r>
        <w:rPr>
          <w:rFonts w:ascii="Arial" w:cs="Arial" w:eastAsia="Arial" w:hAnsi="Arial"/>
          <w:b/>
          <w:bCs/>
          <w:color w:val="1B365D"/>
          <w:sz w:val="32"/>
          <w:szCs w:val="32"/>
        </w:rPr>
        <w:t xml:space="preserve">Introducere</w:t>
      </w:r>
    </w:p>
    <w:p>
      <w:pPr>
        <w:spacing w:after="200" w:line="276"/>
        <w:jc w:val="both"/>
      </w:pPr>
      <w:r>
        <w:rPr>
          <w:rFonts w:ascii="Arial" w:cs="Arial" w:eastAsia="Arial" w:hAnsi="Arial"/>
          <w:sz w:val="22"/>
          <w:szCs w:val="22"/>
        </w:rPr>
        <w:t xml:space="preserve">Concedierea reprezintă încetarea contractului individual de muncă din inițiativa angajatorului și este una dintre cele mai reglementate și controlate proceduri din dreptul muncii român. Codul Muncii stabilește cu strictețe condițiile, procedurile și termenele care trebuie respectate, iar nerespectarea acestora poate conduce la anularea concedierii și obligarea angajatorului la despăgubiri semnificative.</w:t>
      </w:r>
    </w:p>
    <w:p>
      <w:pPr>
        <w:spacing w:after="200" w:line="276"/>
        <w:jc w:val="both"/>
      </w:pPr>
      <w:r>
        <w:rPr>
          <w:rFonts w:ascii="Arial" w:cs="Arial" w:eastAsia="Arial" w:hAnsi="Arial"/>
          <w:sz w:val="22"/>
          <w:szCs w:val="22"/>
        </w:rPr>
        <w:t xml:space="preserve">Acest ghid prezintă cadrul legal complet al concedierii conform Legii nr. 53/2003 (Codul Muncii) cu modificările în vigoare, incluzând procedurile pentru diferitele tipuri de concediere, drepturile salariaților, obligațiile angajatorilor și cele mai frecvente greșeli care duc la anularea deciziilor de concediere în instanță.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5F5F5" w:val="clear"/>
            <w:tcMar>
              <w:top w:type="dxa" w:w="150"/>
              <w:left w:type="dxa" w:w="200"/>
              <w:bottom w:type="dxa" w:w="150"/>
              <w:right w:type="dxa" w:w="200"/>
            </w:tcMar>
          </w:tcPr>
          <w:p>
            <w:pPr>
              <w:spacing w:after="100"/>
            </w:pPr>
            <w:r>
              <w:rPr>
                <w:rFonts w:ascii="Arial" w:cs="Arial" w:eastAsia="Arial" w:hAnsi="Arial"/>
                <w:b/>
                <w:bCs/>
                <w:sz w:val="22"/>
                <w:szCs w:val="22"/>
              </w:rPr>
              <w:t xml:space="preserve">⚠️ IMPORTANT: DECIZIA ÎCCJ NR. 8/2024</w:t>
            </w:r>
          </w:p>
          <w:p>
            <w:pPr>
              <w:jc w:val="both"/>
            </w:pPr>
            <w:r>
              <w:rPr>
                <w:rFonts w:ascii="Arial" w:cs="Arial" w:eastAsia="Arial" w:hAnsi="Arial"/>
                <w:sz w:val="22"/>
                <w:szCs w:val="22"/>
              </w:rPr>
              <w:t xml:space="preserve">Înalta Curte de Casație și Justiție a stabilit prin Decizia nr. 8/2024 (RIL) că termenul de preaviz începe să curgă din ziua următoare comunicării notificării și se împlinește în ultima zi a termenului. Nu se aplică regulile Codului civil privind excluderea primei și ultimei zile.</w:t>
            </w:r>
          </w:p>
        </w:tc>
      </w:tr>
    </w:tbl>
    <w:p>
      <w:pPr>
        <w:spacing w:after="200"/>
      </w:pPr>
    </w:p>
    <w:p>
      <w:pPr>
        <w:pStyle w:val="Heading1"/>
        <w:spacing w:before="400" w:after="200"/>
      </w:pPr>
      <w:r>
        <w:rPr>
          <w:rFonts w:ascii="Arial" w:cs="Arial" w:eastAsia="Arial" w:hAnsi="Arial"/>
          <w:b/>
          <w:bCs/>
          <w:color w:val="1B365D"/>
          <w:sz w:val="32"/>
          <w:szCs w:val="32"/>
        </w:rPr>
        <w:t xml:space="preserve">1. Tipuri de Concediere</w:t>
      </w:r>
    </w:p>
    <w:p>
      <w:pPr>
        <w:spacing w:after="200" w:line="276"/>
        <w:jc w:val="both"/>
      </w:pPr>
      <w:r>
        <w:rPr>
          <w:rFonts w:ascii="Arial" w:cs="Arial" w:eastAsia="Arial" w:hAnsi="Arial"/>
          <w:sz w:val="22"/>
          <w:szCs w:val="22"/>
        </w:rPr>
        <w:t xml:space="preserve">Codul Muncii distinge între mai multe categorii de concediere, fiecare cu proceduri și cerințe specifice:</w:t>
      </w:r>
    </w:p>
    <w:p>
      <w:pPr>
        <w:pStyle w:val="Heading2"/>
        <w:spacing w:before="300" w:after="150"/>
      </w:pPr>
      <w:r>
        <w:rPr>
          <w:rFonts w:ascii="Arial" w:cs="Arial" w:eastAsia="Arial" w:hAnsi="Arial"/>
          <w:b/>
          <w:bCs/>
          <w:color w:val="1B365D"/>
          <w:sz w:val="26"/>
          <w:szCs w:val="26"/>
        </w:rPr>
        <w:t xml:space="preserve">1.1. Concedierea pentru Motive care Țin de Persoana Salariatului (Art. 61)</w:t>
      </w:r>
    </w:p>
    <w:p>
      <w:pPr>
        <w:spacing w:after="200" w:line="276"/>
        <w:jc w:val="both"/>
      </w:pPr>
      <w:r>
        <w:rPr>
          <w:rFonts w:ascii="Arial" w:cs="Arial" w:eastAsia="Arial" w:hAnsi="Arial"/>
          <w:b/>
          <w:bCs/>
          <w:sz w:val="22"/>
          <w:szCs w:val="22"/>
        </w:rPr>
        <w:t xml:space="preserve">a) Concedierea disciplinară </w:t>
      </w:r>
      <w:r>
        <w:rPr>
          <w:rFonts w:ascii="Arial" w:cs="Arial" w:eastAsia="Arial" w:hAnsi="Arial"/>
          <w:sz w:val="22"/>
          <w:szCs w:val="22"/>
        </w:rPr>
        <w:t xml:space="preserve">(art. 61 lit. a): pentru săvârșirea unei abateri grave sau a unor abateri repetate de la regulile de disciplină a muncii. Aceasta este singura formă de concediere care nu necesită acordarea preavizului.</w:t>
      </w:r>
    </w:p>
    <w:p>
      <w:pPr>
        <w:spacing w:after="200" w:line="276"/>
        <w:jc w:val="both"/>
      </w:pPr>
      <w:r>
        <w:rPr>
          <w:rFonts w:ascii="Arial" w:cs="Arial" w:eastAsia="Arial" w:hAnsi="Arial"/>
          <w:b/>
          <w:bCs/>
          <w:sz w:val="22"/>
          <w:szCs w:val="22"/>
        </w:rPr>
        <w:t xml:space="preserve">b) Arestul preventiv sau la domiciliu </w:t>
      </w:r>
      <w:r>
        <w:rPr>
          <w:rFonts w:ascii="Arial" w:cs="Arial" w:eastAsia="Arial" w:hAnsi="Arial"/>
          <w:sz w:val="22"/>
          <w:szCs w:val="22"/>
        </w:rPr>
        <w:t xml:space="preserve">(art. 61 lit. b): când salariatul este arestat preventiv sau la domiciliu pentru o perioadă mai mare de 30 de zile.</w:t>
      </w:r>
    </w:p>
    <w:p>
      <w:pPr>
        <w:spacing w:after="200" w:line="276"/>
        <w:jc w:val="both"/>
      </w:pPr>
      <w:r>
        <w:rPr>
          <w:rFonts w:ascii="Arial" w:cs="Arial" w:eastAsia="Arial" w:hAnsi="Arial"/>
          <w:b/>
          <w:bCs/>
          <w:sz w:val="22"/>
          <w:szCs w:val="22"/>
        </w:rPr>
        <w:t xml:space="preserve">c) Inaptitudine fizică/psihică </w:t>
      </w:r>
      <w:r>
        <w:rPr>
          <w:rFonts w:ascii="Arial" w:cs="Arial" w:eastAsia="Arial" w:hAnsi="Arial"/>
          <w:sz w:val="22"/>
          <w:szCs w:val="22"/>
        </w:rPr>
        <w:t xml:space="preserve">(art. 61 lit. c): când prin decizie a organelor de expertiză medicală se constată inaptitudinea salariatului. Necesită propunerea unui alt loc de muncă și acordarea preavizului.</w:t>
      </w:r>
    </w:p>
    <w:p>
      <w:pPr>
        <w:spacing w:after="200" w:line="276"/>
        <w:jc w:val="both"/>
      </w:pPr>
      <w:r>
        <w:rPr>
          <w:rFonts w:ascii="Arial" w:cs="Arial" w:eastAsia="Arial" w:hAnsi="Arial"/>
          <w:b/>
          <w:bCs/>
          <w:sz w:val="22"/>
          <w:szCs w:val="22"/>
        </w:rPr>
        <w:t xml:space="preserve">d) Necorespundere profesională </w:t>
      </w:r>
      <w:r>
        <w:rPr>
          <w:rFonts w:ascii="Arial" w:cs="Arial" w:eastAsia="Arial" w:hAnsi="Arial"/>
          <w:sz w:val="22"/>
          <w:szCs w:val="22"/>
        </w:rPr>
        <w:t xml:space="preserve">(art. 61 lit. d): când salariatul nu corespunde profesional locului de muncă. Necesită evaluare prealabilă, propunerea unui alt loc de muncă și acordarea preavizului.</w:t>
      </w:r>
    </w:p>
    <w:p>
      <w:pPr>
        <w:pStyle w:val="Heading2"/>
        <w:spacing w:before="300" w:after="150"/>
      </w:pPr>
      <w:r>
        <w:rPr>
          <w:rFonts w:ascii="Arial" w:cs="Arial" w:eastAsia="Arial" w:hAnsi="Arial"/>
          <w:b/>
          <w:bCs/>
          <w:color w:val="1B365D"/>
          <w:sz w:val="26"/>
          <w:szCs w:val="26"/>
        </w:rPr>
        <w:t xml:space="preserve">1.2. Concedierea pentru Motive care Nu Țin de Persoana Salariatului (Art. 65-66)</w:t>
      </w:r>
    </w:p>
    <w:p>
      <w:pPr>
        <w:spacing w:after="200" w:line="276"/>
        <w:jc w:val="both"/>
      </w:pPr>
      <w:r>
        <w:rPr>
          <w:rFonts w:ascii="Arial" w:cs="Arial" w:eastAsia="Arial" w:hAnsi="Arial"/>
          <w:b/>
          <w:bCs/>
          <w:sz w:val="22"/>
          <w:szCs w:val="22"/>
        </w:rPr>
        <w:t xml:space="preserve">Concedierea individuală </w:t>
      </w:r>
      <w:r>
        <w:rPr>
          <w:rFonts w:ascii="Arial" w:cs="Arial" w:eastAsia="Arial" w:hAnsi="Arial"/>
          <w:sz w:val="22"/>
          <w:szCs w:val="22"/>
        </w:rPr>
        <w:t xml:space="preserve">(art. 65): determinată de desființarea locului de muncă ca urmare a dificultăților economice, transformărilor tehnologice sau reorganizării activității. Desființarea trebuie să fie efectivă și să aibă o cauză reală și serioasă.</w:t>
      </w:r>
    </w:p>
    <w:p>
      <w:pPr>
        <w:spacing w:after="200" w:line="276"/>
        <w:jc w:val="both"/>
      </w:pPr>
      <w:r>
        <w:rPr>
          <w:rFonts w:ascii="Arial" w:cs="Arial" w:eastAsia="Arial" w:hAnsi="Arial"/>
          <w:b/>
          <w:bCs/>
          <w:sz w:val="22"/>
          <w:szCs w:val="22"/>
        </w:rPr>
        <w:t xml:space="preserve">Concedierea colectivă </w:t>
      </w:r>
      <w:r>
        <w:rPr>
          <w:rFonts w:ascii="Arial" w:cs="Arial" w:eastAsia="Arial" w:hAnsi="Arial"/>
          <w:sz w:val="22"/>
          <w:szCs w:val="22"/>
        </w:rPr>
        <w:t xml:space="preserve">(art. 68-74): când într-o perioadă de 30 de zile se concediază un număr minim de salariați (10 pentru unități cu 21-99 salariați, 10% pentru 100-299 salariați, 30 pentru 300+ salariați). Procedura include consultări cu sindicatul și notificarea ITM/AJOFM.</w:t>
      </w:r>
    </w:p>
    <w:p>
      <w:pPr>
        <w:spacing w:after="200"/>
      </w:pPr>
    </w:p>
    <w:p>
      <w:pPr>
        <w:pStyle w:val="Heading1"/>
        <w:spacing w:before="400" w:after="200"/>
      </w:pPr>
      <w:r>
        <w:rPr>
          <w:rFonts w:ascii="Arial" w:cs="Arial" w:eastAsia="Arial" w:hAnsi="Arial"/>
          <w:b/>
          <w:bCs/>
          <w:color w:val="1B365D"/>
          <w:sz w:val="32"/>
          <w:szCs w:val="32"/>
        </w:rPr>
        <w:t xml:space="preserve">2. Interdicții la Concediere</w:t>
      </w:r>
    </w:p>
    <w:p>
      <w:pPr>
        <w:pStyle w:val="Heading2"/>
        <w:spacing w:before="300" w:after="150"/>
      </w:pPr>
      <w:r>
        <w:rPr>
          <w:rFonts w:ascii="Arial" w:cs="Arial" w:eastAsia="Arial" w:hAnsi="Arial"/>
          <w:b/>
          <w:bCs/>
          <w:color w:val="1B365D"/>
          <w:sz w:val="26"/>
          <w:szCs w:val="26"/>
        </w:rPr>
        <w:t xml:space="preserve">2.1. Interdicții Absolute (Art. 59)</w:t>
      </w:r>
    </w:p>
    <w:p>
      <w:pPr>
        <w:spacing w:after="200" w:line="276"/>
        <w:jc w:val="both"/>
      </w:pPr>
      <w:r>
        <w:rPr>
          <w:rFonts w:ascii="Arial" w:cs="Arial" w:eastAsia="Arial" w:hAnsi="Arial"/>
          <w:sz w:val="22"/>
          <w:szCs w:val="22"/>
        </w:rPr>
        <w:t xml:space="preserve">Este interzisă concedierea salariaților pe criterii de: sex, orientare sexuală, caracteristici genetice, vârstă, apartenență națională, rasă, culoare, etnie, religie, opțiune politică, origine socială, handicap, situație sau responsabilitate familială, apartenență sau activitate sindicală. Aceste interdicții sunt absolute și nu admit excepții.</w:t>
      </w:r>
    </w:p>
    <w:p>
      <w:pPr>
        <w:pStyle w:val="Heading2"/>
        <w:spacing w:before="300" w:after="150"/>
      </w:pPr>
      <w:r>
        <w:rPr>
          <w:rFonts w:ascii="Arial" w:cs="Arial" w:eastAsia="Arial" w:hAnsi="Arial"/>
          <w:b/>
          <w:bCs/>
          <w:color w:val="1B365D"/>
          <w:sz w:val="26"/>
          <w:szCs w:val="26"/>
        </w:rPr>
        <w:t xml:space="preserve">2.2. Interdicții Temporare (Art. 60)</w:t>
      </w:r>
    </w:p>
    <w:p>
      <w:pPr>
        <w:spacing w:after="200" w:line="276"/>
        <w:jc w:val="both"/>
      </w:pPr>
      <w:r>
        <w:rPr>
          <w:rFonts w:ascii="Arial" w:cs="Arial" w:eastAsia="Arial" w:hAnsi="Arial"/>
          <w:sz w:val="22"/>
          <w:szCs w:val="22"/>
        </w:rPr>
        <w:t xml:space="preserve">Concedierea nu poate fi dispusă în următoarele perioade:</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Pe durata incapacității temporare de muncă (concediu medical)</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Pe durata suspendării activității ca urmare a carantinei</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Pe durata în care femeia salariată este gravidă (dacă angajatorul a luat cunoștință)</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Pe durata concediului de maternitate</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Pe durata concediului pentru creșterea copilului până la 2 ani (sau 3 ani pentru copil cu handicap)</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Pe durata concediului pentru îngrijirea copilului bolnav până la 7 ani (18 ani pentru handicap)</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Pe durata exercitării unei funcții eligibile într-un organism sindical (cu excepția abaterii disciplinare grave)</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Pe durata efectuării concediului de odihnă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5F5F5" w:val="clear"/>
            <w:tcMar>
              <w:top w:type="dxa" w:w="150"/>
              <w:left w:type="dxa" w:w="200"/>
              <w:bottom w:type="dxa" w:w="150"/>
              <w:right w:type="dxa" w:w="200"/>
            </w:tcMar>
          </w:tcPr>
          <w:p>
            <w:pPr>
              <w:spacing w:after="100"/>
            </w:pPr>
            <w:r>
              <w:rPr>
                <w:rFonts w:ascii="Arial" w:cs="Arial" w:eastAsia="Arial" w:hAnsi="Arial"/>
                <w:b/>
                <w:bCs/>
                <w:sz w:val="22"/>
                <w:szCs w:val="22"/>
              </w:rPr>
              <w:t xml:space="preserve">⚠️ EXCEPȚIE PENTRU CONCEDIEREA DISCIPLINARĂ</w:t>
            </w:r>
          </w:p>
          <w:p>
            <w:pPr>
              <w:jc w:val="both"/>
            </w:pPr>
            <w:r>
              <w:rPr>
                <w:rFonts w:ascii="Arial" w:cs="Arial" w:eastAsia="Arial" w:hAnsi="Arial"/>
                <w:sz w:val="22"/>
                <w:szCs w:val="22"/>
              </w:rPr>
              <w:t xml:space="preserve">Interdicțiile de la art. 60 nu se aplică în cazul concedierii disciplinare a salariatei gravide sau a celei aflate în concediu de maternitate, dacă aceasta a săvârșit o abatere disciplinară gravă. Instanțele aplică însă principiul proporționalității cu strictețe în aceste cazuri.</w:t>
            </w:r>
          </w:p>
        </w:tc>
      </w:tr>
    </w:tbl>
    <w:p>
      <w:pPr>
        <w:spacing w:after="200"/>
      </w:pPr>
    </w:p>
    <w:p>
      <w:pPr>
        <w:pStyle w:val="Heading1"/>
        <w:spacing w:before="400" w:after="200"/>
      </w:pPr>
      <w:r>
        <w:rPr>
          <w:rFonts w:ascii="Arial" w:cs="Arial" w:eastAsia="Arial" w:hAnsi="Arial"/>
          <w:b/>
          <w:bCs/>
          <w:color w:val="1B365D"/>
          <w:sz w:val="32"/>
          <w:szCs w:val="32"/>
        </w:rPr>
        <w:t xml:space="preserve">3. Procedura Cercetării Disciplinare</w:t>
      </w:r>
    </w:p>
    <w:p>
      <w:pPr>
        <w:spacing w:after="200" w:line="276"/>
        <w:jc w:val="both"/>
      </w:pPr>
      <w:r>
        <w:rPr>
          <w:rFonts w:ascii="Arial" w:cs="Arial" w:eastAsia="Arial" w:hAnsi="Arial"/>
          <w:sz w:val="22"/>
          <w:szCs w:val="22"/>
        </w:rPr>
        <w:t xml:space="preserve">Cercetarea disciplinară prealabilă este obligatorie pentru aplicarea oricărei sancțiuni disciplinare, cu excepția avertismentului scris. Neefectuarea cercetării atrage nulitatea absolută a deciziei de concediere.</w:t>
      </w:r>
    </w:p>
    <w:p>
      <w:pPr>
        <w:pStyle w:val="Heading2"/>
        <w:spacing w:before="300" w:after="150"/>
      </w:pPr>
      <w:r>
        <w:rPr>
          <w:rFonts w:ascii="Arial" w:cs="Arial" w:eastAsia="Arial" w:hAnsi="Arial"/>
          <w:b/>
          <w:bCs/>
          <w:color w:val="1B365D"/>
          <w:sz w:val="26"/>
          <w:szCs w:val="26"/>
        </w:rPr>
        <w:t xml:space="preserve">3.1. Etapele Cercetării Disciplinare</w:t>
      </w:r>
    </w:p>
    <w:p>
      <w:pPr>
        <w:pStyle w:val="Heading3"/>
        <w:spacing w:before="200" w:after="100"/>
      </w:pPr>
      <w:r>
        <w:rPr>
          <w:rFonts w:ascii="Arial" w:cs="Arial" w:eastAsia="Arial" w:hAnsi="Arial"/>
          <w:b/>
          <w:bCs/>
          <w:sz w:val="22"/>
          <w:szCs w:val="22"/>
        </w:rPr>
        <w:t xml:space="preserve">Etapa 1: Constituirea Comisiei</w:t>
      </w:r>
    </w:p>
    <w:p>
      <w:pPr>
        <w:spacing w:after="200" w:line="276"/>
        <w:jc w:val="both"/>
      </w:pPr>
      <w:r>
        <w:rPr>
          <w:rFonts w:ascii="Arial" w:cs="Arial" w:eastAsia="Arial" w:hAnsi="Arial"/>
          <w:sz w:val="22"/>
          <w:szCs w:val="22"/>
        </w:rPr>
        <w:t xml:space="preserve">Angajatorul emite o decizie internă prin care desemnează persoana sau comisia împuternicită să efectueze cercetarea. Poate fi un salariat, o comisie internă sau un consultant extern specializat în legislația muncii.</w:t>
      </w:r>
    </w:p>
    <w:p>
      <w:pPr>
        <w:pStyle w:val="Heading3"/>
        <w:spacing w:before="200" w:after="100"/>
      </w:pPr>
      <w:r>
        <w:rPr>
          <w:rFonts w:ascii="Arial" w:cs="Arial" w:eastAsia="Arial" w:hAnsi="Arial"/>
          <w:b/>
          <w:bCs/>
          <w:sz w:val="22"/>
          <w:szCs w:val="22"/>
        </w:rPr>
        <w:t xml:space="preserve">Etapa 2: Convocarea Salariatului</w:t>
      </w:r>
    </w:p>
    <w:p>
      <w:pPr>
        <w:spacing w:after="200" w:line="276"/>
        <w:jc w:val="both"/>
      </w:pPr>
      <w:r>
        <w:rPr>
          <w:rFonts w:ascii="Arial" w:cs="Arial" w:eastAsia="Arial" w:hAnsi="Arial"/>
          <w:sz w:val="22"/>
          <w:szCs w:val="22"/>
        </w:rPr>
        <w:t xml:space="preserve">Salariatul este convocat în scris, precizându-se: obiectul cercetării (descrierea faptei), data, ora și locul întrevederii. Convocarea se comunică personal (cu semnătură de primire) sau prin scrisoare recomandată cu confirmare de primire. Între comunicarea convocării și data întrevederii trebuie să existe un termen rezonabil (practica acceptă minimum 5 zile).</w:t>
      </w:r>
    </w:p>
    <w:p>
      <w:pPr>
        <w:pStyle w:val="Heading3"/>
        <w:spacing w:before="200" w:after="100"/>
      </w:pPr>
      <w:r>
        <w:rPr>
          <w:rFonts w:ascii="Arial" w:cs="Arial" w:eastAsia="Arial" w:hAnsi="Arial"/>
          <w:b/>
          <w:bCs/>
          <w:sz w:val="22"/>
          <w:szCs w:val="22"/>
        </w:rPr>
        <w:t xml:space="preserve">Etapa 3: Desfășurarea Cercetării</w:t>
      </w:r>
    </w:p>
    <w:p>
      <w:pPr>
        <w:spacing w:after="200" w:line="276"/>
        <w:jc w:val="both"/>
      </w:pPr>
      <w:r>
        <w:rPr>
          <w:rFonts w:ascii="Arial" w:cs="Arial" w:eastAsia="Arial" w:hAnsi="Arial"/>
          <w:sz w:val="22"/>
          <w:szCs w:val="22"/>
        </w:rPr>
        <w:t xml:space="preserve">La cercetare, salariatul are dreptul: să formuleze și să susțină apărări, să ofere probe și motivații, să fie asistat de un consultant extern, reprezentant sindical sau avocat. Dacă salariatul nu se prezintă fără motiv obiectiv, angajatorul poate dispune sancționarea fără efectuarea cercetării, menționând acest lucru în decizie.</w:t>
      </w:r>
    </w:p>
    <w:p>
      <w:pPr>
        <w:pStyle w:val="Heading3"/>
        <w:spacing w:before="200" w:after="100"/>
      </w:pPr>
      <w:r>
        <w:rPr>
          <w:rFonts w:ascii="Arial" w:cs="Arial" w:eastAsia="Arial" w:hAnsi="Arial"/>
          <w:b/>
          <w:bCs/>
          <w:sz w:val="22"/>
          <w:szCs w:val="22"/>
        </w:rPr>
        <w:t xml:space="preserve">Etapa 4: Întocmirea Referatului</w:t>
      </w:r>
    </w:p>
    <w:p>
      <w:pPr>
        <w:spacing w:after="200" w:line="276"/>
        <w:jc w:val="both"/>
      </w:pPr>
      <w:r>
        <w:rPr>
          <w:rFonts w:ascii="Arial" w:cs="Arial" w:eastAsia="Arial" w:hAnsi="Arial"/>
          <w:sz w:val="22"/>
          <w:szCs w:val="22"/>
        </w:rPr>
        <w:t xml:space="preserve">Comisia/persoana împuternicită întocmește un referat cu concluziile cercetării și propunerea de sancțiune. Angajatorul nu este ținut de propunere și poate decide o sancțiune diferită sau exonerarea.</w:t>
      </w:r>
    </w:p>
    <w:p>
      <w:pPr>
        <w:pStyle w:val="Heading2"/>
        <w:spacing w:before="300" w:after="150"/>
      </w:pPr>
      <w:r>
        <w:rPr>
          <w:rFonts w:ascii="Arial" w:cs="Arial" w:eastAsia="Arial" w:hAnsi="Arial"/>
          <w:b/>
          <w:bCs/>
          <w:color w:val="1B365D"/>
          <w:sz w:val="26"/>
          <w:szCs w:val="26"/>
        </w:rPr>
        <w:t xml:space="preserve">3.2. Termene Imperative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Borders>
              <w:top w:val="single" w:color="CCCCCC" w:sz="1"/>
              <w:left w:val="single" w:color="CCCCCC" w:sz="1"/>
              <w:bottom w:val="single" w:color="CCCCCC" w:sz="1"/>
              <w:right w:val="single" w:color="CCCCCC" w:sz="1"/>
            </w:tcBorders>
            <w:shd w:fill="E0E0E0" w:val="clear"/>
            <w:tcMar>
              <w:top w:type="dxa" w:w="80"/>
              <w:left w:type="dxa" w:w="120"/>
              <w:bottom w:type="dxa" w:w="80"/>
              <w:right w:type="dxa" w:w="120"/>
            </w:tcMar>
          </w:tcPr>
          <w:p>
            <w:r>
              <w:rPr>
                <w:rFonts w:ascii="Arial" w:cs="Arial" w:eastAsia="Arial" w:hAnsi="Arial"/>
                <w:b/>
                <w:bCs/>
                <w:sz w:val="22"/>
                <w:szCs w:val="22"/>
              </w:rPr>
              <w:t xml:space="preserve">Termen</w:t>
            </w:r>
          </w:p>
        </w:tc>
        <w:tc>
          <w:tcPr>
            <w:tcBorders>
              <w:top w:val="single" w:color="CCCCCC" w:sz="1"/>
              <w:left w:val="single" w:color="CCCCCC" w:sz="1"/>
              <w:bottom w:val="single" w:color="CCCCCC" w:sz="1"/>
              <w:right w:val="single" w:color="CCCCCC" w:sz="1"/>
            </w:tcBorders>
            <w:shd w:fill="E0E0E0" w:val="clear"/>
            <w:tcMar>
              <w:top w:type="dxa" w:w="80"/>
              <w:left w:type="dxa" w:w="120"/>
              <w:bottom w:type="dxa" w:w="80"/>
              <w:right w:type="dxa" w:w="120"/>
            </w:tcMar>
          </w:tcPr>
          <w:p>
            <w:r>
              <w:rPr>
                <w:rFonts w:ascii="Arial" w:cs="Arial" w:eastAsia="Arial" w:hAnsi="Arial"/>
                <w:b/>
                <w:bCs/>
                <w:sz w:val="22"/>
                <w:szCs w:val="22"/>
              </w:rPr>
              <w:t xml:space="preserve">Prevedere legală</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30 zile calendaristice</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de la luarea la cunoștință despre săvârșirea abaterii pentru emiterea deciziei</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6 luni</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de la data săvârșirii faptei (termen maxim absolut)</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5 zile calendaristice</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de la emitere pentru comunicarea deciziei către salariat</w:t>
            </w:r>
          </w:p>
        </w:tc>
      </w:tr>
    </w:tbl>
    <w:p>
      <w:pPr>
        <w:spacing w:after="300"/>
      </w:pPr>
    </w:p>
    <w:p>
      <w:pPr>
        <w:pStyle w:val="Heading1"/>
        <w:spacing w:before="400" w:after="200"/>
      </w:pPr>
      <w:r>
        <w:rPr>
          <w:rFonts w:ascii="Arial" w:cs="Arial" w:eastAsia="Arial" w:hAnsi="Arial"/>
          <w:b/>
          <w:bCs/>
          <w:color w:val="1B365D"/>
          <w:sz w:val="32"/>
          <w:szCs w:val="32"/>
        </w:rPr>
        <w:t xml:space="preserve">4. Dreptul la Preaviz</w:t>
      </w:r>
    </w:p>
    <w:p>
      <w:pPr>
        <w:spacing w:after="200" w:line="276"/>
        <w:jc w:val="both"/>
      </w:pPr>
      <w:r>
        <w:rPr>
          <w:rFonts w:ascii="Arial" w:cs="Arial" w:eastAsia="Arial" w:hAnsi="Arial"/>
          <w:sz w:val="22"/>
          <w:szCs w:val="22"/>
        </w:rPr>
        <w:t xml:space="preserve">Preavizul reprezintă perioada în care salariatul este informat că urmează să-i înceteze contractul de muncă, având scopul de a-i permite să-și caute un alt loc de muncă.</w:t>
      </w:r>
    </w:p>
    <w:p>
      <w:pPr>
        <w:pStyle w:val="Heading2"/>
        <w:spacing w:before="300" w:after="150"/>
      </w:pPr>
      <w:r>
        <w:rPr>
          <w:rFonts w:ascii="Arial" w:cs="Arial" w:eastAsia="Arial" w:hAnsi="Arial"/>
          <w:b/>
          <w:bCs/>
          <w:color w:val="1B365D"/>
          <w:sz w:val="26"/>
          <w:szCs w:val="26"/>
        </w:rPr>
        <w:t xml:space="preserve">4.1. Când Este Obligatoriu Preavizul</w:t>
      </w:r>
    </w:p>
    <w:p>
      <w:pPr>
        <w:spacing w:after="200" w:line="276"/>
        <w:jc w:val="both"/>
      </w:pPr>
      <w:r>
        <w:rPr>
          <w:rFonts w:ascii="Arial" w:cs="Arial" w:eastAsia="Arial" w:hAnsi="Arial"/>
          <w:sz w:val="22"/>
          <w:szCs w:val="22"/>
        </w:rPr>
        <w:t xml:space="preserve">Preavizul este obligatoriu în cazul concedierilor prevăzute la: art. 61 lit. c) (inaptitudine), art. 61 lit. d) (necorespundere profesională), art. 65 (desființare post) și art. 66 (concediere colectivă). NU se acordă preaviz în cazul concedierii disciplinare (art. 61 lit. a) și pentru arestul preventiv (art. 61 lit. b).</w:t>
      </w:r>
    </w:p>
    <w:p>
      <w:pPr>
        <w:pStyle w:val="Heading2"/>
        <w:spacing w:before="300" w:after="150"/>
      </w:pPr>
      <w:r>
        <w:rPr>
          <w:rFonts w:ascii="Arial" w:cs="Arial" w:eastAsia="Arial" w:hAnsi="Arial"/>
          <w:b/>
          <w:bCs/>
          <w:color w:val="1B365D"/>
          <w:sz w:val="26"/>
          <w:szCs w:val="26"/>
        </w:rPr>
        <w:t xml:space="preserve">4.2. Durata Preavizului</w:t>
      </w:r>
    </w:p>
    <w:p>
      <w:pPr>
        <w:spacing w:after="200" w:line="276"/>
        <w:jc w:val="both"/>
      </w:pPr>
      <w:r>
        <w:rPr>
          <w:rFonts w:ascii="Arial" w:cs="Arial" w:eastAsia="Arial" w:hAnsi="Arial"/>
          <w:b/>
          <w:bCs/>
          <w:sz w:val="22"/>
          <w:szCs w:val="22"/>
        </w:rPr>
        <w:t xml:space="preserve">Minim 20 de zile lucrătoare </w:t>
      </w:r>
      <w:r>
        <w:rPr>
          <w:rFonts w:ascii="Arial" w:cs="Arial" w:eastAsia="Arial" w:hAnsi="Arial"/>
          <w:sz w:val="22"/>
          <w:szCs w:val="22"/>
        </w:rPr>
        <w:t xml:space="preserve">- conform art. 75 alin. (1) Codul Muncii. Contractul individual sau colectiv de muncă poate stabili termene mai lungi.</w:t>
      </w:r>
    </w:p>
    <w:p>
      <w:pPr>
        <w:spacing w:after="200" w:line="276"/>
        <w:jc w:val="both"/>
      </w:pPr>
      <w:r>
        <w:rPr>
          <w:rFonts w:ascii="Arial" w:cs="Arial" w:eastAsia="Arial" w:hAnsi="Arial"/>
          <w:b/>
          <w:bCs/>
          <w:sz w:val="22"/>
          <w:szCs w:val="22"/>
        </w:rPr>
        <w:t xml:space="preserve">Minim 30 de zile lucrătoare </w:t>
      </w:r>
      <w:r>
        <w:rPr>
          <w:rFonts w:ascii="Arial" w:cs="Arial" w:eastAsia="Arial" w:hAnsi="Arial"/>
          <w:sz w:val="22"/>
          <w:szCs w:val="22"/>
        </w:rPr>
        <w:t xml:space="preserve">- pentru persoanele cu handicap concediate pentru motive neimputabile lor (art. 83 din Legea nr. 448/2006).</w:t>
      </w:r>
    </w:p>
    <w:p>
      <w:pPr>
        <w:spacing w:after="200" w:line="276"/>
        <w:jc w:val="both"/>
      </w:pPr>
      <w:r>
        <w:rPr>
          <w:rFonts w:ascii="Arial" w:cs="Arial" w:eastAsia="Arial" w:hAnsi="Arial"/>
          <w:b/>
          <w:bCs/>
          <w:sz w:val="22"/>
          <w:szCs w:val="22"/>
        </w:rPr>
        <w:t xml:space="preserve">Excepție: </w:t>
      </w:r>
      <w:r>
        <w:rPr>
          <w:rFonts w:ascii="Arial" w:cs="Arial" w:eastAsia="Arial" w:hAnsi="Arial"/>
          <w:sz w:val="22"/>
          <w:szCs w:val="22"/>
        </w:rPr>
        <w:t xml:space="preserve">Persoanele aflate în perioada de probă concediate pentru necorespundere profesională nu beneficiază de preaviz.</w:t>
      </w:r>
    </w:p>
    <w:p>
      <w:pPr>
        <w:pStyle w:val="Heading2"/>
        <w:spacing w:before="300" w:after="150"/>
      </w:pPr>
      <w:r>
        <w:rPr>
          <w:rFonts w:ascii="Arial" w:cs="Arial" w:eastAsia="Arial" w:hAnsi="Arial"/>
          <w:b/>
          <w:bCs/>
          <w:color w:val="1B365D"/>
          <w:sz w:val="26"/>
          <w:szCs w:val="26"/>
        </w:rPr>
        <w:t xml:space="preserve">4.3. Calculul Termenului de Preaviz (Decizia ÎCCJ nr. 8/2024)</w:t>
      </w:r>
    </w:p>
    <w:p>
      <w:pPr>
        <w:spacing w:after="200" w:line="276"/>
        <w:jc w:val="both"/>
      </w:pPr>
      <w:r>
        <w:rPr>
          <w:rFonts w:ascii="Arial" w:cs="Arial" w:eastAsia="Arial" w:hAnsi="Arial"/>
          <w:sz w:val="22"/>
          <w:szCs w:val="22"/>
        </w:rPr>
        <w:t xml:space="preserve">Conform Deciziei nr. 8 din 20 mai 2024 a Înaltei Curți de Casație și Justiție (recurs în interesul legii), termenul de preaviz se calculează astfel: începe să curgă din ziua următoare comunicării notificării de preaviz și se împlinește în ultima zi a termenului. Nu se aplică dispozițiile art. 181 Cod procedură civilă și art. 2.553 Cod civil. Se numără doar zilele lucrătoare.</w:t>
      </w:r>
    </w:p>
    <w:p>
      <w:pPr>
        <w:pStyle w:val="Heading2"/>
        <w:spacing w:before="300" w:after="150"/>
      </w:pPr>
      <w:r>
        <w:rPr>
          <w:rFonts w:ascii="Arial" w:cs="Arial" w:eastAsia="Arial" w:hAnsi="Arial"/>
          <w:b/>
          <w:bCs/>
          <w:color w:val="1B365D"/>
          <w:sz w:val="26"/>
          <w:szCs w:val="26"/>
        </w:rPr>
        <w:t xml:space="preserve">4.4. Suspendarea Preavizului</w:t>
      </w:r>
    </w:p>
    <w:p>
      <w:pPr>
        <w:spacing w:after="200" w:line="276"/>
        <w:jc w:val="both"/>
      </w:pPr>
      <w:r>
        <w:rPr>
          <w:rFonts w:ascii="Arial" w:cs="Arial" w:eastAsia="Arial" w:hAnsi="Arial"/>
          <w:sz w:val="22"/>
          <w:szCs w:val="22"/>
        </w:rPr>
        <w:t xml:space="preserve">Dacă în perioada de preaviz contractul individual de muncă este suspendat (de exemplu, pentru concediu medical), termenul de preaviz se suspendă corespunzător și continuă să curgă după încetarea cauzei de suspendare.</w:t>
      </w:r>
    </w:p>
    <w:p>
      <w:pPr>
        <w:spacing w:after="200"/>
      </w:pPr>
    </w:p>
    <w:p>
      <w:pPr>
        <w:pStyle w:val="Heading1"/>
        <w:spacing w:before="400" w:after="200"/>
      </w:pPr>
      <w:r>
        <w:rPr>
          <w:rFonts w:ascii="Arial" w:cs="Arial" w:eastAsia="Arial" w:hAnsi="Arial"/>
          <w:b/>
          <w:bCs/>
          <w:color w:val="1B365D"/>
          <w:sz w:val="32"/>
          <w:szCs w:val="32"/>
        </w:rPr>
        <w:t xml:space="preserve">5. Decizia de Concediere</w:t>
      </w:r>
    </w:p>
    <w:p>
      <w:pPr>
        <w:pStyle w:val="Heading2"/>
        <w:spacing w:before="300" w:after="150"/>
      </w:pPr>
      <w:r>
        <w:rPr>
          <w:rFonts w:ascii="Arial" w:cs="Arial" w:eastAsia="Arial" w:hAnsi="Arial"/>
          <w:b/>
          <w:bCs/>
          <w:color w:val="1B365D"/>
          <w:sz w:val="26"/>
          <w:szCs w:val="26"/>
        </w:rPr>
        <w:t xml:space="preserve">5.1. Elemente Obligatorii (Art. 76 și Art. 252)</w:t>
      </w:r>
    </w:p>
    <w:p>
      <w:pPr>
        <w:spacing w:after="200" w:line="276"/>
        <w:jc w:val="both"/>
      </w:pPr>
      <w:r>
        <w:rPr>
          <w:rFonts w:ascii="Arial" w:cs="Arial" w:eastAsia="Arial" w:hAnsi="Arial"/>
          <w:sz w:val="22"/>
          <w:szCs w:val="22"/>
        </w:rPr>
        <w:t xml:space="preserve">Sub sancțiunea nulității absolute, decizia de concediere trebuie să conțină:</w:t>
      </w:r>
    </w:p>
    <w:p>
      <w:pPr>
        <w:spacing w:after="200" w:line="276"/>
        <w:jc w:val="both"/>
      </w:pPr>
      <w:r>
        <w:rPr>
          <w:rFonts w:ascii="Arial" w:cs="Arial" w:eastAsia="Arial" w:hAnsi="Arial"/>
          <w:b/>
          <w:bCs/>
          <w:sz w:val="22"/>
          <w:szCs w:val="22"/>
        </w:rPr>
        <w:t xml:space="preserve">a) </w:t>
      </w:r>
      <w:r>
        <w:rPr>
          <w:rFonts w:ascii="Arial" w:cs="Arial" w:eastAsia="Arial" w:hAnsi="Arial"/>
          <w:sz w:val="22"/>
          <w:szCs w:val="22"/>
        </w:rPr>
        <w:t xml:space="preserve">Motivele care determină concedierea (descrierea faptei pentru concedierea disciplinară)</w:t>
      </w:r>
    </w:p>
    <w:p>
      <w:pPr>
        <w:spacing w:after="200" w:line="276"/>
        <w:jc w:val="both"/>
      </w:pPr>
      <w:r>
        <w:rPr>
          <w:rFonts w:ascii="Arial" w:cs="Arial" w:eastAsia="Arial" w:hAnsi="Arial"/>
          <w:b/>
          <w:bCs/>
          <w:sz w:val="22"/>
          <w:szCs w:val="22"/>
        </w:rPr>
        <w:t xml:space="preserve">b) </w:t>
      </w:r>
      <w:r>
        <w:rPr>
          <w:rFonts w:ascii="Arial" w:cs="Arial" w:eastAsia="Arial" w:hAnsi="Arial"/>
          <w:sz w:val="22"/>
          <w:szCs w:val="22"/>
        </w:rPr>
        <w:t xml:space="preserve">Durata preavizului (pentru concedierile care îl presupun)</w:t>
      </w:r>
    </w:p>
    <w:p>
      <w:pPr>
        <w:spacing w:after="200" w:line="276"/>
        <w:jc w:val="both"/>
      </w:pPr>
      <w:r>
        <w:rPr>
          <w:rFonts w:ascii="Arial" w:cs="Arial" w:eastAsia="Arial" w:hAnsi="Arial"/>
          <w:b/>
          <w:bCs/>
          <w:sz w:val="22"/>
          <w:szCs w:val="22"/>
        </w:rPr>
        <w:t xml:space="preserve">c) </w:t>
      </w:r>
      <w:r>
        <w:rPr>
          <w:rFonts w:ascii="Arial" w:cs="Arial" w:eastAsia="Arial" w:hAnsi="Arial"/>
          <w:sz w:val="22"/>
          <w:szCs w:val="22"/>
        </w:rPr>
        <w:t xml:space="preserve">Criteriile de stabilire a ordinii de priorități (pentru concedierea colectivă)</w:t>
      </w:r>
    </w:p>
    <w:p>
      <w:pPr>
        <w:spacing w:after="200" w:line="276"/>
        <w:jc w:val="both"/>
      </w:pPr>
      <w:r>
        <w:rPr>
          <w:rFonts w:ascii="Arial" w:cs="Arial" w:eastAsia="Arial" w:hAnsi="Arial"/>
          <w:b/>
          <w:bCs/>
          <w:sz w:val="22"/>
          <w:szCs w:val="22"/>
        </w:rPr>
        <w:t xml:space="preserve">d) </w:t>
      </w:r>
      <w:r>
        <w:rPr>
          <w:rFonts w:ascii="Arial" w:cs="Arial" w:eastAsia="Arial" w:hAnsi="Arial"/>
          <w:sz w:val="22"/>
          <w:szCs w:val="22"/>
        </w:rPr>
        <w:t xml:space="preserve">Lista locurilor de muncă disponibile și termenul pentru opțiune (pentru art. 61 lit. c și d)</w:t>
      </w:r>
    </w:p>
    <w:p>
      <w:pPr>
        <w:spacing w:after="200" w:line="276"/>
        <w:jc w:val="both"/>
      </w:pPr>
      <w:r>
        <w:rPr>
          <w:rFonts w:ascii="Arial" w:cs="Arial" w:eastAsia="Arial" w:hAnsi="Arial"/>
          <w:b/>
          <w:bCs/>
          <w:sz w:val="22"/>
          <w:szCs w:val="22"/>
        </w:rPr>
        <w:t xml:space="preserve">e) </w:t>
      </w:r>
      <w:r>
        <w:rPr>
          <w:rFonts w:ascii="Arial" w:cs="Arial" w:eastAsia="Arial" w:hAnsi="Arial"/>
          <w:sz w:val="22"/>
          <w:szCs w:val="22"/>
        </w:rPr>
        <w:t xml:space="preserve">Temeiul de drept</w:t>
      </w:r>
    </w:p>
    <w:p>
      <w:pPr>
        <w:spacing w:after="200" w:line="276"/>
        <w:jc w:val="both"/>
      </w:pPr>
      <w:r>
        <w:rPr>
          <w:rFonts w:ascii="Arial" w:cs="Arial" w:eastAsia="Arial" w:hAnsi="Arial"/>
          <w:b/>
          <w:bCs/>
          <w:sz w:val="22"/>
          <w:szCs w:val="22"/>
        </w:rPr>
        <w:t xml:space="preserve">f) </w:t>
      </w:r>
      <w:r>
        <w:rPr>
          <w:rFonts w:ascii="Arial" w:cs="Arial" w:eastAsia="Arial" w:hAnsi="Arial"/>
          <w:sz w:val="22"/>
          <w:szCs w:val="22"/>
        </w:rPr>
        <w:t xml:space="preserve">Termenul în care poate fi contestată</w:t>
      </w:r>
    </w:p>
    <w:p>
      <w:pPr>
        <w:spacing w:after="200" w:line="276"/>
        <w:jc w:val="both"/>
      </w:pPr>
      <w:r>
        <w:rPr>
          <w:rFonts w:ascii="Arial" w:cs="Arial" w:eastAsia="Arial" w:hAnsi="Arial"/>
          <w:b/>
          <w:bCs/>
          <w:sz w:val="22"/>
          <w:szCs w:val="22"/>
        </w:rPr>
        <w:t xml:space="preserve">g) </w:t>
      </w:r>
      <w:r>
        <w:rPr>
          <w:rFonts w:ascii="Arial" w:cs="Arial" w:eastAsia="Arial" w:hAnsi="Arial"/>
          <w:sz w:val="22"/>
          <w:szCs w:val="22"/>
        </w:rPr>
        <w:t xml:space="preserve">Instanța competentă</w:t>
      </w:r>
    </w:p>
    <w:p>
      <w:pPr>
        <w:spacing w:after="200" w:line="276"/>
        <w:jc w:val="both"/>
      </w:pPr>
      <w:r>
        <w:rPr>
          <w:rFonts w:ascii="Arial" w:cs="Arial" w:eastAsia="Arial" w:hAnsi="Arial"/>
          <w:sz w:val="22"/>
          <w:szCs w:val="22"/>
        </w:rPr>
        <w:t xml:space="preserve">Pentru concedierea disciplinară, decizia trebuie să mai conțină: precizarea prevederilor încălcate de salariat și motivele pentru care au fost înlăturate apărările formulate sau motivele pentru care nu a fost efectuată cercetarea.</w:t>
      </w:r>
    </w:p>
    <w:p>
      <w:pPr>
        <w:pStyle w:val="Heading2"/>
        <w:spacing w:before="300" w:after="150"/>
      </w:pPr>
      <w:r>
        <w:rPr>
          <w:rFonts w:ascii="Arial" w:cs="Arial" w:eastAsia="Arial" w:hAnsi="Arial"/>
          <w:b/>
          <w:bCs/>
          <w:color w:val="1B365D"/>
          <w:sz w:val="26"/>
          <w:szCs w:val="26"/>
        </w:rPr>
        <w:t xml:space="preserve">5.2. Comunicarea Deciziei</w:t>
      </w:r>
    </w:p>
    <w:p>
      <w:pPr>
        <w:spacing w:after="200" w:line="276"/>
        <w:jc w:val="both"/>
      </w:pPr>
      <w:r>
        <w:rPr>
          <w:rFonts w:ascii="Arial" w:cs="Arial" w:eastAsia="Arial" w:hAnsi="Arial"/>
          <w:sz w:val="22"/>
          <w:szCs w:val="22"/>
        </w:rPr>
        <w:t xml:space="preserve">Decizia se comunică salariatului în cel mult 5 zile calendaristice de la emitere, personal cu semnătură de primire sau prin scrisoare recomandată cu confirmare de primire. Decizia produce efecte de la data comunicării.</w:t>
      </w:r>
    </w:p>
    <w:p>
      <w:pPr>
        <w:spacing w:after="200"/>
      </w:pPr>
    </w:p>
    <w:p>
      <w:pPr>
        <w:pStyle w:val="Heading1"/>
        <w:spacing w:before="400" w:after="200"/>
      </w:pPr>
      <w:r>
        <w:rPr>
          <w:rFonts w:ascii="Arial" w:cs="Arial" w:eastAsia="Arial" w:hAnsi="Arial"/>
          <w:b/>
          <w:bCs/>
          <w:color w:val="1B365D"/>
          <w:sz w:val="32"/>
          <w:szCs w:val="32"/>
        </w:rPr>
        <w:t xml:space="preserve">6. Contestarea Concedierii</w:t>
      </w:r>
    </w:p>
    <w:p>
      <w:pPr>
        <w:pStyle w:val="Heading2"/>
        <w:spacing w:before="300" w:after="150"/>
      </w:pPr>
      <w:r>
        <w:rPr>
          <w:rFonts w:ascii="Arial" w:cs="Arial" w:eastAsia="Arial" w:hAnsi="Arial"/>
          <w:b/>
          <w:bCs/>
          <w:color w:val="1B365D"/>
          <w:sz w:val="26"/>
          <w:szCs w:val="26"/>
        </w:rPr>
        <w:t xml:space="preserve">6.1. Termene de Contestare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Borders>
              <w:top w:val="single" w:color="CCCCCC" w:sz="1"/>
              <w:left w:val="single" w:color="CCCCCC" w:sz="1"/>
              <w:bottom w:val="single" w:color="CCCCCC" w:sz="1"/>
              <w:right w:val="single" w:color="CCCCCC" w:sz="1"/>
            </w:tcBorders>
            <w:shd w:fill="E0E0E0" w:val="clear"/>
            <w:tcMar>
              <w:top w:type="dxa" w:w="80"/>
              <w:left w:type="dxa" w:w="120"/>
              <w:bottom w:type="dxa" w:w="80"/>
              <w:right w:type="dxa" w:w="120"/>
            </w:tcMar>
          </w:tcPr>
          <w:p>
            <w:r>
              <w:rPr>
                <w:rFonts w:ascii="Arial" w:cs="Arial" w:eastAsia="Arial" w:hAnsi="Arial"/>
                <w:b/>
                <w:bCs/>
                <w:sz w:val="22"/>
                <w:szCs w:val="22"/>
              </w:rPr>
              <w:t xml:space="preserve">Tip concediere</w:t>
            </w:r>
          </w:p>
        </w:tc>
        <w:tc>
          <w:tcPr>
            <w:tcBorders>
              <w:top w:val="single" w:color="CCCCCC" w:sz="1"/>
              <w:left w:val="single" w:color="CCCCCC" w:sz="1"/>
              <w:bottom w:val="single" w:color="CCCCCC" w:sz="1"/>
              <w:right w:val="single" w:color="CCCCCC" w:sz="1"/>
            </w:tcBorders>
            <w:shd w:fill="E0E0E0" w:val="clear"/>
            <w:tcMar>
              <w:top w:type="dxa" w:w="80"/>
              <w:left w:type="dxa" w:w="120"/>
              <w:bottom w:type="dxa" w:w="80"/>
              <w:right w:type="dxa" w:w="120"/>
            </w:tcMar>
          </w:tcPr>
          <w:p>
            <w:r>
              <w:rPr>
                <w:rFonts w:ascii="Arial" w:cs="Arial" w:eastAsia="Arial" w:hAnsi="Arial"/>
                <w:b/>
                <w:bCs/>
                <w:sz w:val="22"/>
                <w:szCs w:val="22"/>
              </w:rPr>
              <w:t xml:space="preserve">Termen contestare</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Concediere disciplinară (art. 61 lit. a)</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30 zile calendaristice de la comunicare</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Alte tipuri de concediere</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45 zile calendaristice de la comunicare</w:t>
            </w:r>
          </w:p>
        </w:tc>
      </w:tr>
    </w:tbl>
    <w:p>
      <w:pPr>
        <w:spacing w:after="200"/>
      </w:pPr>
    </w:p>
    <w:p>
      <w:pPr>
        <w:pStyle w:val="Heading2"/>
        <w:spacing w:before="300" w:after="150"/>
      </w:pPr>
      <w:r>
        <w:rPr>
          <w:rFonts w:ascii="Arial" w:cs="Arial" w:eastAsia="Arial" w:hAnsi="Arial"/>
          <w:b/>
          <w:bCs/>
          <w:color w:val="1B365D"/>
          <w:sz w:val="26"/>
          <w:szCs w:val="26"/>
        </w:rPr>
        <w:t xml:space="preserve">6.2. Instanța Competentă</w:t>
      </w:r>
    </w:p>
    <w:p>
      <w:pPr>
        <w:spacing w:after="200" w:line="276"/>
        <w:jc w:val="both"/>
      </w:pPr>
      <w:r>
        <w:rPr>
          <w:rFonts w:ascii="Arial" w:cs="Arial" w:eastAsia="Arial" w:hAnsi="Arial"/>
          <w:sz w:val="22"/>
          <w:szCs w:val="22"/>
        </w:rPr>
        <w:t xml:space="preserve">Contestația se depune la Tribunalul în a cărui circumscripție salariatul (reclamantul) își are domiciliul sau reședința. Litigiile de muncă sunt scutite de taxa judiciară de timbru.</w:t>
      </w:r>
    </w:p>
    <w:p>
      <w:pPr>
        <w:pStyle w:val="Heading2"/>
        <w:spacing w:before="300" w:after="150"/>
      </w:pPr>
      <w:r>
        <w:rPr>
          <w:rFonts w:ascii="Arial" w:cs="Arial" w:eastAsia="Arial" w:hAnsi="Arial"/>
          <w:b/>
          <w:bCs/>
          <w:color w:val="1B365D"/>
          <w:sz w:val="26"/>
          <w:szCs w:val="26"/>
        </w:rPr>
        <w:t xml:space="preserve">6.3. Consecințele Anulării Concedierii</w:t>
      </w:r>
    </w:p>
    <w:p>
      <w:pPr>
        <w:spacing w:after="200" w:line="276"/>
        <w:jc w:val="both"/>
      </w:pPr>
      <w:r>
        <w:rPr>
          <w:rFonts w:ascii="Arial" w:cs="Arial" w:eastAsia="Arial" w:hAnsi="Arial"/>
          <w:sz w:val="22"/>
          <w:szCs w:val="22"/>
        </w:rPr>
        <w:t xml:space="preserve">Dacă instanța constată că concedierea a fost netemeinică sau nelegală, va dispune: anularea deciziei de concediere, obligarea angajatorului la plata unei despăgubiri egale cu salariile indexate, majorate și reactualizate și cu celelalte drepturi de care ar fi beneficiat salariatul, repunerea părților în situația anterioară (reintegrarea pe post), la cererea salariatului.</w:t>
      </w:r>
    </w:p>
    <w:p>
      <w:pPr>
        <w:spacing w:after="200"/>
      </w:pPr>
    </w:p>
    <w:p>
      <w:pPr>
        <w:pStyle w:val="Heading1"/>
        <w:spacing w:before="400" w:after="200"/>
      </w:pPr>
      <w:r>
        <w:rPr>
          <w:rFonts w:ascii="Arial" w:cs="Arial" w:eastAsia="Arial" w:hAnsi="Arial"/>
          <w:b/>
          <w:bCs/>
          <w:color w:val="1B365D"/>
          <w:sz w:val="32"/>
          <w:szCs w:val="32"/>
        </w:rPr>
        <w:t xml:space="preserve">7. Greșeli Frecvente ale Angajatorilor</w:t>
      </w:r>
    </w:p>
    <w:p>
      <w:pPr>
        <w:pStyle w:val="Heading3"/>
        <w:spacing w:before="200" w:after="100"/>
      </w:pPr>
      <w:r>
        <w:rPr>
          <w:rFonts w:ascii="Arial" w:cs="Arial" w:eastAsia="Arial" w:hAnsi="Arial"/>
          <w:b/>
          <w:bCs/>
          <w:sz w:val="22"/>
          <w:szCs w:val="22"/>
        </w:rPr>
        <w:t xml:space="preserve">7.1. Nerespectarea Procedurii Cercetării Disciplinare</w:t>
      </w:r>
    </w:p>
    <w:p>
      <w:pPr>
        <w:spacing w:after="200" w:line="276"/>
        <w:jc w:val="both"/>
      </w:pPr>
      <w:r>
        <w:rPr>
          <w:rFonts w:ascii="Arial" w:cs="Arial" w:eastAsia="Arial" w:hAnsi="Arial"/>
          <w:sz w:val="22"/>
          <w:szCs w:val="22"/>
        </w:rPr>
        <w:t xml:space="preserve">Lipsa convocării în scris, neacordarea posibilității de a formula apărări, neprecizarea obiectului cercetării în convocator, nerespectarea termenului rezonabil între convocare și întrevedere.</w:t>
      </w:r>
    </w:p>
    <w:p>
      <w:pPr>
        <w:pStyle w:val="Heading3"/>
        <w:spacing w:before="200" w:after="100"/>
      </w:pPr>
      <w:r>
        <w:rPr>
          <w:rFonts w:ascii="Arial" w:cs="Arial" w:eastAsia="Arial" w:hAnsi="Arial"/>
          <w:b/>
          <w:bCs/>
          <w:sz w:val="22"/>
          <w:szCs w:val="22"/>
        </w:rPr>
        <w:t xml:space="preserve">7.2. Depășirea Termenelor Legale</w:t>
      </w:r>
    </w:p>
    <w:p>
      <w:pPr>
        <w:spacing w:after="200" w:line="276"/>
        <w:jc w:val="both"/>
      </w:pPr>
      <w:r>
        <w:rPr>
          <w:rFonts w:ascii="Arial" w:cs="Arial" w:eastAsia="Arial" w:hAnsi="Arial"/>
          <w:sz w:val="22"/>
          <w:szCs w:val="22"/>
        </w:rPr>
        <w:t xml:space="preserve">Emiterea deciziei după mai mult de 30 de zile de la luarea la cunoștință sau după 6 luni de la săvârșirea faptei. Comunicarea deciziei după mai mult de 5 zile de la emitere.</w:t>
      </w:r>
    </w:p>
    <w:p>
      <w:pPr>
        <w:pStyle w:val="Heading3"/>
        <w:spacing w:before="200" w:after="100"/>
      </w:pPr>
      <w:r>
        <w:rPr>
          <w:rFonts w:ascii="Arial" w:cs="Arial" w:eastAsia="Arial" w:hAnsi="Arial"/>
          <w:b/>
          <w:bCs/>
          <w:sz w:val="22"/>
          <w:szCs w:val="22"/>
        </w:rPr>
        <w:t xml:space="preserve">7.3. Motivare Insuficientă</w:t>
      </w:r>
    </w:p>
    <w:p>
      <w:pPr>
        <w:spacing w:after="200" w:line="276"/>
        <w:jc w:val="both"/>
      </w:pPr>
      <w:r>
        <w:rPr>
          <w:rFonts w:ascii="Arial" w:cs="Arial" w:eastAsia="Arial" w:hAnsi="Arial"/>
          <w:sz w:val="22"/>
          <w:szCs w:val="22"/>
        </w:rPr>
        <w:t xml:space="preserve">Descrierea vagă a faptei, neprecizarea prevederilor încălcate, lipsa menționării temeiului de drept sau a termenului și instanței pentru contestare.</w:t>
      </w:r>
    </w:p>
    <w:p>
      <w:pPr>
        <w:pStyle w:val="Heading3"/>
        <w:spacing w:before="200" w:after="100"/>
      </w:pPr>
      <w:r>
        <w:rPr>
          <w:rFonts w:ascii="Arial" w:cs="Arial" w:eastAsia="Arial" w:hAnsi="Arial"/>
          <w:b/>
          <w:bCs/>
          <w:sz w:val="22"/>
          <w:szCs w:val="22"/>
        </w:rPr>
        <w:t xml:space="preserve">7.4. Neacordarea Preavizului</w:t>
      </w:r>
    </w:p>
    <w:p>
      <w:pPr>
        <w:spacing w:after="200" w:line="276"/>
        <w:jc w:val="both"/>
      </w:pPr>
      <w:r>
        <w:rPr>
          <w:rFonts w:ascii="Arial" w:cs="Arial" w:eastAsia="Arial" w:hAnsi="Arial"/>
          <w:sz w:val="22"/>
          <w:szCs w:val="22"/>
        </w:rPr>
        <w:t xml:space="preserve">Concedierea imediată pentru motive care presupun acordarea preavizului sau acordarea unui preaviz mai scurt decât minimul legal de 20 de zile lucrătoare.</w:t>
      </w:r>
    </w:p>
    <w:p>
      <w:pPr>
        <w:pStyle w:val="Heading3"/>
        <w:spacing w:before="200" w:after="100"/>
      </w:pPr>
      <w:r>
        <w:rPr>
          <w:rFonts w:ascii="Arial" w:cs="Arial" w:eastAsia="Arial" w:hAnsi="Arial"/>
          <w:b/>
          <w:bCs/>
          <w:sz w:val="22"/>
          <w:szCs w:val="22"/>
        </w:rPr>
        <w:t xml:space="preserve">7.5. Desființare Fictivă a Postului</w:t>
      </w:r>
    </w:p>
    <w:p>
      <w:pPr>
        <w:spacing w:after="200" w:line="276"/>
        <w:jc w:val="both"/>
      </w:pPr>
      <w:r>
        <w:rPr>
          <w:rFonts w:ascii="Arial" w:cs="Arial" w:eastAsia="Arial" w:hAnsi="Arial"/>
          <w:sz w:val="22"/>
          <w:szCs w:val="22"/>
        </w:rPr>
        <w:t xml:space="preserve">Reangajarea pe același post în perioada de 45 de zile de la concediere, fără a oferi postul persoanei concediate. Crearea unui post similar cu denumire diferită.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5F5F5" w:val="clear"/>
            <w:tcMar>
              <w:top w:type="dxa" w:w="150"/>
              <w:left w:type="dxa" w:w="200"/>
              <w:bottom w:type="dxa" w:w="150"/>
              <w:right w:type="dxa" w:w="200"/>
            </w:tcMar>
          </w:tcPr>
          <w:p>
            <w:pPr>
              <w:spacing w:after="100"/>
            </w:pPr>
            <w:r>
              <w:rPr>
                <w:rFonts w:ascii="Arial" w:cs="Arial" w:eastAsia="Arial" w:hAnsi="Arial"/>
                <w:b/>
                <w:bCs/>
                <w:sz w:val="22"/>
                <w:szCs w:val="22"/>
              </w:rPr>
              <w:t xml:space="preserve">⚠️ STATISTICĂ: 3 DIN 4 CONTESTAȚII SUNT CÂȘTIGATE DE SALARIAȚI</w:t>
            </w:r>
          </w:p>
          <w:p>
            <w:pPr>
              <w:jc w:val="both"/>
            </w:pPr>
            <w:r>
              <w:rPr>
                <w:rFonts w:ascii="Arial" w:cs="Arial" w:eastAsia="Arial" w:hAnsi="Arial"/>
                <w:sz w:val="22"/>
                <w:szCs w:val="22"/>
              </w:rPr>
              <w:t xml:space="preserve">Conform datelor Inspecției Muncii, în marea majoritate a litigiilor de muncă privind concedierea, instanțele dau câștig de cauză salariaților. Angajatorii trebuie să pregătească riguros dosarul și să respecte cu strictețe toate cerințele procedurale.</w:t>
            </w:r>
          </w:p>
        </w:tc>
      </w:tr>
    </w:tbl>
    <w:p>
      <w:pPr>
        <w:spacing w:after="300"/>
      </w:pPr>
    </w:p>
    <w:p>
      <w:pPr>
        <w:pStyle w:val="Heading1"/>
        <w:spacing w:before="400" w:after="200"/>
      </w:pPr>
      <w:r>
        <w:rPr>
          <w:rFonts w:ascii="Arial" w:cs="Arial" w:eastAsia="Arial" w:hAnsi="Arial"/>
          <w:b/>
          <w:bCs/>
          <w:color w:val="1B365D"/>
          <w:sz w:val="32"/>
          <w:szCs w:val="32"/>
        </w:rPr>
        <w:t xml:space="preserve">8. Drepturile Salariatului la Concediere</w:t>
      </w:r>
    </w:p>
    <w:p>
      <w:pPr>
        <w:spacing w:after="200" w:line="276"/>
        <w:jc w:val="both"/>
      </w:pPr>
      <w:r>
        <w:rPr>
          <w:rFonts w:ascii="Arial" w:cs="Arial" w:eastAsia="Arial" w:hAnsi="Arial"/>
          <w:b/>
          <w:bCs/>
          <w:sz w:val="22"/>
          <w:szCs w:val="22"/>
        </w:rPr>
        <w:t xml:space="preserve">Dreptul la preaviz: </w:t>
      </w:r>
      <w:r>
        <w:rPr>
          <w:rFonts w:ascii="Arial" w:cs="Arial" w:eastAsia="Arial" w:hAnsi="Arial"/>
          <w:sz w:val="22"/>
          <w:szCs w:val="22"/>
        </w:rPr>
        <w:t xml:space="preserve">minimum 20 de zile lucrătoare pentru concedierile neimputabile salariatului.</w:t>
      </w:r>
    </w:p>
    <w:p>
      <w:pPr>
        <w:spacing w:after="200" w:line="276"/>
        <w:jc w:val="both"/>
      </w:pPr>
      <w:r>
        <w:rPr>
          <w:rFonts w:ascii="Arial" w:cs="Arial" w:eastAsia="Arial" w:hAnsi="Arial"/>
          <w:b/>
          <w:bCs/>
          <w:sz w:val="22"/>
          <w:szCs w:val="22"/>
        </w:rPr>
        <w:t xml:space="preserve">Dreptul la informare: </w:t>
      </w:r>
      <w:r>
        <w:rPr>
          <w:rFonts w:ascii="Arial" w:cs="Arial" w:eastAsia="Arial" w:hAnsi="Arial"/>
          <w:sz w:val="22"/>
          <w:szCs w:val="22"/>
        </w:rPr>
        <w:t xml:space="preserve">comunicarea în scris a motivelor concedierii și a drepturilor.</w:t>
      </w:r>
    </w:p>
    <w:p>
      <w:pPr>
        <w:spacing w:after="200" w:line="276"/>
        <w:jc w:val="both"/>
      </w:pPr>
      <w:r>
        <w:rPr>
          <w:rFonts w:ascii="Arial" w:cs="Arial" w:eastAsia="Arial" w:hAnsi="Arial"/>
          <w:b/>
          <w:bCs/>
          <w:sz w:val="22"/>
          <w:szCs w:val="22"/>
        </w:rPr>
        <w:t xml:space="preserve">Dreptul la apărare: </w:t>
      </w:r>
      <w:r>
        <w:rPr>
          <w:rFonts w:ascii="Arial" w:cs="Arial" w:eastAsia="Arial" w:hAnsi="Arial"/>
          <w:sz w:val="22"/>
          <w:szCs w:val="22"/>
        </w:rPr>
        <w:t xml:space="preserve">formularea de apărări în cadrul cercetării disciplinare, asistarea de avocat/consultant.</w:t>
      </w:r>
    </w:p>
    <w:p>
      <w:pPr>
        <w:spacing w:after="200" w:line="276"/>
        <w:jc w:val="both"/>
      </w:pPr>
      <w:r>
        <w:rPr>
          <w:rFonts w:ascii="Arial" w:cs="Arial" w:eastAsia="Arial" w:hAnsi="Arial"/>
          <w:b/>
          <w:bCs/>
          <w:sz w:val="22"/>
          <w:szCs w:val="22"/>
        </w:rPr>
        <w:t xml:space="preserve">Dreptul de contestare: </w:t>
      </w:r>
      <w:r>
        <w:rPr>
          <w:rFonts w:ascii="Arial" w:cs="Arial" w:eastAsia="Arial" w:hAnsi="Arial"/>
          <w:sz w:val="22"/>
          <w:szCs w:val="22"/>
        </w:rPr>
        <w:t xml:space="preserve">acces gratuit la justiție pentru contestarea deciziei nelegale.</w:t>
      </w:r>
    </w:p>
    <w:p>
      <w:pPr>
        <w:spacing w:after="200" w:line="276"/>
        <w:jc w:val="both"/>
      </w:pPr>
      <w:r>
        <w:rPr>
          <w:rFonts w:ascii="Arial" w:cs="Arial" w:eastAsia="Arial" w:hAnsi="Arial"/>
          <w:b/>
          <w:bCs/>
          <w:sz w:val="22"/>
          <w:szCs w:val="22"/>
        </w:rPr>
        <w:t xml:space="preserve">Dreptul la compensații: </w:t>
      </w:r>
      <w:r>
        <w:rPr>
          <w:rFonts w:ascii="Arial" w:cs="Arial" w:eastAsia="Arial" w:hAnsi="Arial"/>
          <w:sz w:val="22"/>
          <w:szCs w:val="22"/>
        </w:rPr>
        <w:t xml:space="preserve">conform contractului colectiv sau individual de muncă.</w:t>
      </w:r>
    </w:p>
    <w:p>
      <w:pPr>
        <w:spacing w:after="200" w:line="276"/>
        <w:jc w:val="both"/>
      </w:pPr>
      <w:r>
        <w:rPr>
          <w:rFonts w:ascii="Arial" w:cs="Arial" w:eastAsia="Arial" w:hAnsi="Arial"/>
          <w:b/>
          <w:bCs/>
          <w:sz w:val="22"/>
          <w:szCs w:val="22"/>
        </w:rPr>
        <w:t xml:space="preserve">Dreptul la șomaj: </w:t>
      </w:r>
      <w:r>
        <w:rPr>
          <w:rFonts w:ascii="Arial" w:cs="Arial" w:eastAsia="Arial" w:hAnsi="Arial"/>
          <w:sz w:val="22"/>
          <w:szCs w:val="22"/>
        </w:rPr>
        <w:t xml:space="preserve">pentru concedierile din motive neimputabile, conform Legii nr. 76/2002.</w:t>
      </w:r>
    </w:p>
    <w:p>
      <w:pPr>
        <w:spacing w:after="200" w:line="276"/>
        <w:jc w:val="both"/>
      </w:pPr>
      <w:r>
        <w:rPr>
          <w:rFonts w:ascii="Arial" w:cs="Arial" w:eastAsia="Arial" w:hAnsi="Arial"/>
          <w:b/>
          <w:bCs/>
          <w:sz w:val="22"/>
          <w:szCs w:val="22"/>
        </w:rPr>
        <w:t xml:space="preserve">Dreptul la reofertare: </w:t>
      </w:r>
      <w:r>
        <w:rPr>
          <w:rFonts w:ascii="Arial" w:cs="Arial" w:eastAsia="Arial" w:hAnsi="Arial"/>
          <w:sz w:val="22"/>
          <w:szCs w:val="22"/>
        </w:rPr>
        <w:t xml:space="preserve">angajatorul care face angajări în 45 de zile pe postul desființat trebuie să ofere postul persoanei concediate.</w:t>
      </w:r>
    </w:p>
    <w:p>
      <w:pPr>
        <w:spacing w:after="300"/>
      </w:pPr>
    </w:p>
    <w:p>
      <w:pPr>
        <w:pStyle w:val="Heading1"/>
        <w:spacing w:before="400" w:after="200"/>
      </w:pPr>
      <w:r>
        <w:rPr>
          <w:rFonts w:ascii="Arial" w:cs="Arial" w:eastAsia="Arial" w:hAnsi="Arial"/>
          <w:b/>
          <w:bCs/>
          <w:color w:val="1B365D"/>
          <w:sz w:val="32"/>
          <w:szCs w:val="32"/>
        </w:rPr>
        <w:t xml:space="preserve">9. Întrebări Frecvente (FAQ)</w:t>
      </w:r>
    </w:p>
    <w:p>
      <w:pPr>
        <w:pStyle w:val="Heading3"/>
        <w:spacing w:before="200" w:after="100"/>
      </w:pPr>
      <w:r>
        <w:rPr>
          <w:rFonts w:ascii="Arial" w:cs="Arial" w:eastAsia="Arial" w:hAnsi="Arial"/>
          <w:b/>
          <w:bCs/>
          <w:sz w:val="22"/>
          <w:szCs w:val="22"/>
        </w:rPr>
        <w:t xml:space="preserve">Poate angajatorul să mă concedieze pe perioada concediului medical?</w:t>
      </w:r>
    </w:p>
    <w:p>
      <w:pPr>
        <w:spacing w:after="200" w:line="276"/>
        <w:jc w:val="both"/>
      </w:pPr>
      <w:r>
        <w:rPr>
          <w:rFonts w:ascii="Arial" w:cs="Arial" w:eastAsia="Arial" w:hAnsi="Arial"/>
          <w:sz w:val="22"/>
          <w:szCs w:val="22"/>
        </w:rPr>
        <w:t xml:space="preserve">Nu. Concedierea pe durata incapacității temporare de muncă este interzisă de art. 60 alin. (1) lit. a) din Codul Muncii. Excepție: în caz de reorganizare judiciară, faliment sau dizolvare a angajatorului.</w:t>
      </w:r>
    </w:p>
    <w:p>
      <w:pPr>
        <w:pStyle w:val="Heading3"/>
        <w:spacing w:before="200" w:after="100"/>
      </w:pPr>
      <w:r>
        <w:rPr>
          <w:rFonts w:ascii="Arial" w:cs="Arial" w:eastAsia="Arial" w:hAnsi="Arial"/>
          <w:b/>
          <w:bCs/>
          <w:sz w:val="22"/>
          <w:szCs w:val="22"/>
        </w:rPr>
        <w:t xml:space="preserve">Sunt obligat să lucrez în perioada de preaviz?</w:t>
      </w:r>
    </w:p>
    <w:p>
      <w:pPr>
        <w:spacing w:after="200" w:line="276"/>
        <w:jc w:val="both"/>
      </w:pPr>
      <w:r>
        <w:rPr>
          <w:rFonts w:ascii="Arial" w:cs="Arial" w:eastAsia="Arial" w:hAnsi="Arial"/>
          <w:sz w:val="22"/>
          <w:szCs w:val="22"/>
        </w:rPr>
        <w:t xml:space="preserve">Da. Pe durata preavizului, contractul de muncă continuă să producă efecte. Salariatul are aceleași drepturi și obligații, inclusiv obligația de a presta munca. Părțile pot conveni însă renunțarea la această obligație.</w:t>
      </w:r>
    </w:p>
    <w:p>
      <w:pPr>
        <w:pStyle w:val="Heading3"/>
        <w:spacing w:before="200" w:after="100"/>
      </w:pPr>
      <w:r>
        <w:rPr>
          <w:rFonts w:ascii="Arial" w:cs="Arial" w:eastAsia="Arial" w:hAnsi="Arial"/>
          <w:b/>
          <w:bCs/>
          <w:sz w:val="22"/>
          <w:szCs w:val="22"/>
        </w:rPr>
        <w:t xml:space="preserve">Ce pot face dacă angajatorul nu respectă termenul de preaviz?</w:t>
      </w:r>
    </w:p>
    <w:p>
      <w:pPr>
        <w:spacing w:after="200" w:line="276"/>
        <w:jc w:val="both"/>
      </w:pPr>
      <w:r>
        <w:rPr>
          <w:rFonts w:ascii="Arial" w:cs="Arial" w:eastAsia="Arial" w:hAnsi="Arial"/>
          <w:sz w:val="22"/>
          <w:szCs w:val="22"/>
        </w:rPr>
        <w:t xml:space="preserve">Puteți contesta decizia de concediere la tribunal. Nerespectarea termenului minim de preaviz atrage nulitatea absolută a deciziei de concediere, conform Deciziei ÎCCJ nr. 8/2014.</w:t>
      </w:r>
    </w:p>
    <w:p>
      <w:pPr>
        <w:pStyle w:val="Heading3"/>
        <w:spacing w:before="200" w:after="100"/>
      </w:pPr>
      <w:r>
        <w:rPr>
          <w:rFonts w:ascii="Arial" w:cs="Arial" w:eastAsia="Arial" w:hAnsi="Arial"/>
          <w:b/>
          <w:bCs/>
          <w:sz w:val="22"/>
          <w:szCs w:val="22"/>
        </w:rPr>
        <w:t xml:space="preserve">Am dreptul la compensații la concedierea pentru desființarea postului?</w:t>
      </w:r>
    </w:p>
    <w:p>
      <w:pPr>
        <w:spacing w:after="200" w:line="276"/>
        <w:jc w:val="both"/>
      </w:pPr>
      <w:r>
        <w:rPr>
          <w:rFonts w:ascii="Arial" w:cs="Arial" w:eastAsia="Arial" w:hAnsi="Arial"/>
          <w:sz w:val="22"/>
          <w:szCs w:val="22"/>
        </w:rPr>
        <w:t xml:space="preserve">Doar dacă sunt prevăzute în contractul colectiv sau individual de muncă. Codul Muncii nu obligă angajatorul la plata compensațiilor, dar acestea pot fi negociate.</w:t>
      </w:r>
    </w:p>
    <w:p>
      <w:pPr>
        <w:pStyle w:val="Heading3"/>
        <w:spacing w:before="200" w:after="100"/>
      </w:pPr>
      <w:r>
        <w:rPr>
          <w:rFonts w:ascii="Arial" w:cs="Arial" w:eastAsia="Arial" w:hAnsi="Arial"/>
          <w:b/>
          <w:bCs/>
          <w:sz w:val="22"/>
          <w:szCs w:val="22"/>
        </w:rPr>
        <w:t xml:space="preserve">Pot fi concediat în perioada de probă?</w:t>
      </w:r>
    </w:p>
    <w:p>
      <w:pPr>
        <w:spacing w:after="200" w:line="276"/>
        <w:jc w:val="both"/>
      </w:pPr>
      <w:r>
        <w:rPr>
          <w:rFonts w:ascii="Arial" w:cs="Arial" w:eastAsia="Arial" w:hAnsi="Arial"/>
          <w:sz w:val="22"/>
          <w:szCs w:val="22"/>
        </w:rPr>
        <w:t xml:space="preserve">Da, dar numai pentru necorespundere profesională (art. 61 lit. d), nu disciplinar. În perioada de probă, pentru necorespundere profesională nu se acordă preaviz.</w:t>
      </w:r>
    </w:p>
    <w:p>
      <w:pPr>
        <w:spacing w:after="4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B365D" w:sz="2"/>
              <w:left w:val="single" w:color="1B365D" w:sz="2"/>
              <w:bottom w:val="single" w:color="1B365D" w:sz="2"/>
              <w:right w:val="single" w:color="1B365D" w:sz="2"/>
            </w:tcBorders>
            <w:shd w:fill="F5F5F5" w:val="clear"/>
            <w:tcMar>
              <w:top w:type="dxa" w:w="200"/>
              <w:left w:type="dxa" w:w="250"/>
              <w:bottom w:type="dxa" w:w="200"/>
              <w:right w:type="dxa" w:w="250"/>
            </w:tcMar>
          </w:tcPr>
          <w:p>
            <w:pPr>
              <w:spacing w:after="150"/>
              <w:jc w:val="center"/>
            </w:pPr>
            <w:r>
              <w:drawing>
                <wp:inline distT="0" distB="0" distL="0" distR="0">
                  <wp:extent cx="714375" cy="714375"/>
                  <wp:effectExtent t="0" r="0" b="0" l="0"/>
                  <wp:docPr id="1" name="Logo" descr="Compass logo" title="Pantilimon La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14375" cy="714375"/>
                          </a:xfrm>
                          <a:prstGeom prst="rect">
                            <a:avLst/>
                          </a:prstGeom>
                        </pic:spPr>
                      </pic:pic>
                    </a:graphicData>
                  </a:graphic>
                </wp:inline>
              </w:drawing>
            </w:r>
          </w:p>
          <w:p>
            <w:pPr>
              <w:spacing w:after="80"/>
              <w:jc w:val="center"/>
            </w:pPr>
            <w:r>
              <w:rPr>
                <w:rFonts w:ascii="Arial" w:cs="Arial" w:eastAsia="Arial" w:hAnsi="Arial"/>
                <w:b/>
                <w:bCs/>
                <w:sz w:val="26"/>
                <w:szCs w:val="26"/>
              </w:rPr>
              <w:t xml:space="preserve">Tel: 0740.011.411</w:t>
            </w:r>
          </w:p>
          <w:p>
            <w:pPr>
              <w:spacing w:after="80"/>
              <w:jc w:val="center"/>
            </w:pPr>
            <w:r>
              <w:rPr>
                <w:rFonts w:ascii="Arial" w:cs="Arial" w:eastAsia="Arial" w:hAnsi="Arial"/>
                <w:sz w:val="22"/>
                <w:szCs w:val="22"/>
              </w:rPr>
              <w:t xml:space="preserve">Email: office@pantilimon.ro  •  Web: www.pantilimon.ro</w:t>
            </w:r>
          </w:p>
          <w:p>
            <w:pPr>
              <w:spacing w:after="80"/>
              <w:jc w:val="center"/>
            </w:pPr>
            <w:r>
              <w:rPr>
                <w:rFonts w:ascii="Arial" w:cs="Arial" w:eastAsia="Arial" w:hAnsi="Arial"/>
                <w:sz w:val="22"/>
                <w:szCs w:val="22"/>
              </w:rPr>
              <w:t xml:space="preserve">Cabinet Avocatură Pantilimon Rikhárd</w:t>
            </w:r>
          </w:p>
          <w:p>
            <w:pPr>
              <w:jc w:val="center"/>
            </w:pPr>
            <w:r>
              <w:rPr>
                <w:rFonts w:ascii="Arial" w:cs="Arial" w:eastAsia="Arial" w:hAnsi="Arial"/>
                <w:color w:val="666666"/>
                <w:sz w:val="20"/>
                <w:szCs w:val="20"/>
              </w:rPr>
              <w:t xml:space="preserve">Str. Rodnei nr. 3, Ap. 1, Târgu Mureș, Mureș</w:t>
            </w:r>
          </w:p>
        </w:tc>
      </w:tr>
    </w:tbl>
    <w:p>
      <w:pPr>
        <w:spacing w:after="250"/>
      </w:pPr>
    </w:p>
    <w:p>
      <w:pPr>
        <w:spacing w:after="100"/>
        <w:jc w:val="both"/>
      </w:pPr>
      <w:r>
        <w:rPr>
          <w:rFonts w:ascii="Arial" w:cs="Arial" w:eastAsia="Arial" w:hAnsi="Arial"/>
          <w:b/>
          <w:bCs/>
          <w:sz w:val="20"/>
          <w:szCs w:val="20"/>
        </w:rPr>
        <w:t xml:space="preserve">Temei legal: </w:t>
      </w:r>
      <w:r>
        <w:rPr>
          <w:rFonts w:ascii="Arial" w:cs="Arial" w:eastAsia="Arial" w:hAnsi="Arial"/>
          <w:sz w:val="20"/>
          <w:szCs w:val="20"/>
        </w:rPr>
        <w:t xml:space="preserve">Legea nr. 53/2003 privind Codul Muncii, republicată, cu modificările și completările ulterioare (art. 58-80, art. 247-252); Decizia ÎCCJ nr. 8/2024 (RIL) privind calculul termenului de preaviz; Legea nr. 448/2006 privind protecția persoanelor cu handicap.</w:t>
      </w:r>
    </w:p>
    <w:p>
      <w:pPr>
        <w:spacing w:after="100"/>
        <w:jc w:val="both"/>
      </w:pPr>
      <w:r>
        <w:rPr>
          <w:rFonts w:ascii="Arial" w:cs="Arial" w:eastAsia="Arial" w:hAnsi="Arial"/>
          <w:b/>
          <w:bCs/>
          <w:color w:val="666666"/>
          <w:sz w:val="18"/>
          <w:szCs w:val="18"/>
        </w:rPr>
        <w:t xml:space="preserve">Notă: </w:t>
      </w:r>
      <w:r>
        <w:rPr>
          <w:rFonts w:ascii="Arial" w:cs="Arial" w:eastAsia="Arial" w:hAnsi="Arial"/>
          <w:color w:val="666666"/>
          <w:sz w:val="18"/>
          <w:szCs w:val="18"/>
        </w:rPr>
        <w:t xml:space="preserve">Prezentul material are caracter informativ și nu constituie consultanță juridică. Pentru analiza situației concrete privind concedierea sau contestarea acesteia, vă recomandăm consultarea unui avocat specializat în dreptul muncii.</w:t>
      </w:r>
    </w:p>
    <w:sectPr>
      <w:headerReference w:type="default" r:id="rId6"/>
      <w:footerReference w:type="default" r:id="rId7"/>
      <w:pgSz w:w="11906" w:h="16838" w:orient="portrait"/>
      <w:pgMar w:top="180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20"/>
        <w:szCs w:val="20"/>
      </w:rPr>
      <w:t xml:space="preserve">Pagina </w:t>
    </w:r>
    <w:r>
      <w:rPr>
        <w:rFonts w:ascii="Arial" w:cs="Arial" w:eastAsia="Arial" w:hAnsi="Arial"/>
        <w:color w:val="666666"/>
        <w:sz w:val="20"/>
        <w:szCs w:val="20"/>
      </w:rPr>
      <w:fldChar w:fldCharType="begin"/>
      <w:instrText xml:space="preserve">PAGE</w:instrText>
      <w:fldChar w:fldCharType="separate"/>
      <w:fldChar w:fldCharType="end"/>
    </w:r>
    <w:r>
      <w:rPr>
        <w:rFonts w:ascii="Arial" w:cs="Arial" w:eastAsia="Arial" w:hAnsi="Arial"/>
        <w:color w:val="666666"/>
        <w:sz w:val="20"/>
        <w:szCs w:val="20"/>
      </w:rPr>
      <w:t xml:space="preserve"> din </w:t>
    </w:r>
    <w:r>
      <w:rPr>
        <w:rFonts w:ascii="Arial" w:cs="Arial" w:eastAsia="Arial" w:hAnsi="Arial"/>
        <w:color w:val="666666"/>
        <w:sz w:val="20"/>
        <w:szCs w:val="20"/>
      </w:rPr>
      <w:fldChar w:fldCharType="begin"/>
      <w:instrText xml:space="preserve">NUMPAGES</w:instrText>
      <w:fldChar w:fldCharType="separate"/>
      <w:fldChar w:fldCharType="end"/>
    </w:r>
    <w:r>
      <w:rPr>
        <w:rFonts w:ascii="Arial" w:cs="Arial" w:eastAsia="Arial" w:hAnsi="Arial"/>
        <w:color w:val="999999"/>
        <w:sz w:val="18"/>
        <w:szCs w:val="18"/>
      </w:rPr>
      <w:t xml:space="preserve">  |  © 2026 Cabinet de Avocatură Pantilimon Rikhárd  |  Baroul Mureș</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sz="0"/>
        <w:left w:val="none" w:sz="0"/>
        <w:bottom w:val="none" w:sz="0"/>
        <w:right w:val="none" w:sz="0"/>
        <w:insideH w:val="none" w:sz="0"/>
        <w:insideV w:val="none" w:sz="0"/>
      </w:tblBorders>
    </w:tblPr>
    <w:tblGrid>
      <w:gridCol w:w="2000"/>
      <w:gridCol w:w="7000"/>
    </w:tblGrid>
    <w:tr>
      <w:tc>
        <w:tcPr>
          <w:tcW w:type="dxa" w:w="2000"/>
          <w:tcBorders>
            <w:top w:val="none"/>
            <w:left w:val="none"/>
            <w:bottom w:val="none"/>
            <w:right w:val="none"/>
          </w:tcBorders>
          <w:tcMar>
            <w:left w:type="dxa" w:w="10"/>
            <w:right w:type="dxa" w:w="10"/>
          </w:tcMar>
        </w:tcPr>
        <w:p>
          <w:r>
            <w:drawing>
              <wp:inline distT="0" distB="0" distL="0" distR="0">
                <wp:extent cx="495300" cy="495300"/>
                <wp:effectExtent t="0" r="0" b="0" l="0"/>
                <wp:docPr id="1" name="Logo" descr="Compass logo" title="Pantilimon La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95300" cy="495300"/>
                        </a:xfrm>
                        <a:prstGeom prst="rect">
                          <a:avLst/>
                        </a:prstGeom>
                      </pic:spPr>
                    </pic:pic>
                  </a:graphicData>
                </a:graphic>
              </wp:inline>
            </w:drawing>
          </w:r>
        </w:p>
      </w:tc>
      <w:tc>
        <w:tcPr>
          <w:tcW w:type="dxa" w:w="7000"/>
          <w:tcBorders>
            <w:top w:val="none"/>
            <w:left w:val="none"/>
            <w:bottom w:val="none"/>
            <w:right w:val="none"/>
          </w:tcBorders>
          <w:tcMar>
            <w:left w:type="dxa" w:w="10"/>
            <w:right w:type="dxa" w:w="10"/>
          </w:tcMar>
        </w:tcPr>
        <w:p>
          <w:r>
            <w:rPr>
              <w:rFonts w:ascii="Arial" w:cs="Arial" w:eastAsia="Arial" w:hAnsi="Arial"/>
              <w:color w:val="444444"/>
              <w:sz w:val="20"/>
              <w:szCs w:val="20"/>
            </w:rPr>
            <w:t xml:space="preserve">Tel: 0740.011.411  |  office@pantilimon.ro  |  www.pantilimon.ro</w:t>
          </w:r>
        </w:p>
      </w:tc>
    </w:tr>
  </w:tbl>
  <w:p>
    <w:pPr>
      <w:pBdr>
        <w:bottom w:val="single" w:color="1B365D" w:sz="12"/>
      </w:pBdr>
      <w:spacing w:before="100" w:after="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cf5e81119273922c2daaecd25b532bf7eeeae654.jpg"/><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f5e81119273922c2daaecd25b532bf7eeeae654.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2026-01-06T12:13:46.962Z</dcterms:created>
  <dcterms:modified xsi:type="dcterms:W3CDTF">2026-01-06T12:13:46.963Z</dcterms:modified>
</cp:coreProperties>
</file>

<file path=docProps/custom.xml><?xml version="1.0" encoding="utf-8"?>
<Properties xmlns="http://schemas.openxmlformats.org/officeDocument/2006/custom-properties" xmlns:vt="http://schemas.openxmlformats.org/officeDocument/2006/docPropsVTypes"/>
</file>