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36"/>
          <w:szCs w:val="36"/>
        </w:rPr>
        <w:t xml:space="preserve">Capital Social 2026</w:t>
      </w:r>
    </w:p>
    <w:p>
      <w:pPr>
        <w:spacing w:after="150"/>
        <w:jc w:val="center"/>
      </w:pPr>
      <w:r>
        <w:rPr>
          <w:i/>
          <w:iCs/>
          <w:sz w:val="26"/>
          <w:szCs w:val="26"/>
        </w:rPr>
        <w:t xml:space="preserve">Ghid Complet privind Noile Cerințe pentru SRL-uri</w:t>
      </w:r>
    </w:p>
    <w:p>
      <w:pPr>
        <w:spacing w:after="80"/>
        <w:jc w:val="center"/>
      </w:pPr>
      <w:r>
        <w:rPr>
          <w:b/>
          <w:bCs/>
          <w:sz w:val="22"/>
          <w:szCs w:val="22"/>
        </w:rPr>
        <w:t xml:space="preserve">Legea nr. 239/2025, M.Of. nr. 1160/15.12.2025</w:t>
      </w:r>
    </w:p>
    <w:p>
      <w:pPr>
        <w:spacing w:after="300"/>
        <w:jc w:val="center"/>
      </w:pPr>
      <w:r>
        <w:rPr>
          <w:color w:val="666666"/>
          <w:sz w:val="20"/>
          <w:szCs w:val="20"/>
        </w:rPr>
        <w:t xml:space="preserve">Av. Rikhard Pantilimon  •  Actualizat: 6 ianuarie 2026</w:t>
      </w:r>
    </w:p>
    <w:p>
      <w:pPr>
        <w:spacing w:after="200" w:line="276"/>
        <w:jc w:val="both"/>
      </w:pPr>
      <w:r>
        <w:t xml:space="preserve">După mai mulți ani în care capitalul social minim al SRL-urilor a fost de doar 1 leu, </w:t>
      </w:r>
      <w:r>
        <w:rPr>
          <w:b/>
          <w:bCs/>
        </w:rPr>
        <w:t xml:space="preserve">Legea nr. 239/2025</w:t>
      </w:r>
      <w:r>
        <w:t xml:space="preserve"> introduce modificări fundamentale. Noile prevederi, în vigoare de la 18 decembrie 2025, impun praguri diferențiate de capital social în funcție de cifra de afaceri netă și obligații stricte de conformare, sub sancțiunea dizolvării societății.</w:t>
      </w:r>
    </w:p>
    <w:p>
      <w:pPr>
        <w:spacing w:after="300" w:line="276"/>
        <w:jc w:val="both"/>
      </w:pPr>
      <w:r>
        <w:t xml:space="preserve">Prezentul ghid analizează toate aspectele relevante pentru antreprenori: noile praguri, termenele de conformare, stimulentele fiscale disponibile, procedura de majorare și consecințele nerespectării obligațiilor legale.</w:t>
      </w:r>
    </w:p>
    <w:p>
      <w:pPr>
        <w:pStyle w:val="Heading1"/>
      </w:pPr>
      <w:r>
        <w:t xml:space="preserve">1. Noile Praguri de Capital Social</w:t>
      </w:r>
    </w:p>
    <w:p>
      <w:pPr>
        <w:spacing w:after="150" w:line="276"/>
        <w:jc w:val="both"/>
      </w:pPr>
      <w:r>
        <w:t xml:space="preserve">Conform art. VI din Legea 239/2025, capitalul social al societăților cu răspundere limitată se stabilește în funcție de cifra de afaceri netă raportată prin situațiile financiare anuale ale exercițiului financiar precedent: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2800"/>
        <w:gridCol w:w="2200"/>
      </w:tblGrid>
      <w:tr>
        <w:tc>
          <w:tcPr>
            <w:tcW w:type="dxa" w:w="4000"/>
            <w:tcBorders>
              <w:top w:val="single" w:color="999999" w:sz="1"/>
              <w:left w:val="single" w:color="999999" w:sz="1"/>
              <w:bottom w:val="single" w:color="999999" w:sz="1"/>
              <w:right w:val="single" w:color="999999" w:sz="1"/>
            </w:tcBorders>
            <w:shd w:fill="E5E5E5" w:val="clear"/>
            <w:tcMar>
              <w:top w:type="dxa" w:w="100"/>
              <w:left w:type="dxa" w:w="150"/>
              <w:bottom w:type="dxa" w:w="100"/>
              <w:right w:type="dxa" w:w="150"/>
            </w:tcMar>
          </w:tcPr>
          <w:p>
            <w:r>
              <w:rPr>
                <w:b/>
                <w:bCs/>
              </w:rPr>
              <w:t xml:space="preserve">Categoria SRL</w:t>
            </w:r>
          </w:p>
        </w:tc>
        <w:tc>
          <w:tcPr>
            <w:tcW w:type="dxa" w:w="2800"/>
            <w:tcBorders>
              <w:top w:val="single" w:color="999999" w:sz="1"/>
              <w:left w:val="single" w:color="999999" w:sz="1"/>
              <w:bottom w:val="single" w:color="999999" w:sz="1"/>
              <w:right w:val="single" w:color="999999" w:sz="1"/>
            </w:tcBorders>
            <w:shd w:fill="E5E5E5" w:val="clear"/>
            <w:tcMar>
              <w:top w:type="dxa" w:w="100"/>
              <w:left w:type="dxa" w:w="150"/>
              <w:bottom w:type="dxa" w:w="100"/>
              <w:right w:type="dxa" w:w="150"/>
            </w:tcMar>
          </w:tcPr>
          <w:p>
            <w:r>
              <w:rPr>
                <w:b/>
                <w:bCs/>
              </w:rPr>
              <w:t xml:space="preserve">Cifra de Afaceri</w:t>
            </w:r>
          </w:p>
        </w:tc>
        <w:tc>
          <w:tcPr>
            <w:tcW w:type="dxa" w:w="2200"/>
            <w:tcBorders>
              <w:top w:val="single" w:color="999999" w:sz="1"/>
              <w:left w:val="single" w:color="999999" w:sz="1"/>
              <w:bottom w:val="single" w:color="999999" w:sz="1"/>
              <w:right w:val="single" w:color="999999" w:sz="1"/>
            </w:tcBorders>
            <w:shd w:fill="E5E5E5" w:val="clear"/>
            <w:tcMar>
              <w:top w:type="dxa" w:w="100"/>
              <w:left w:type="dxa" w:w="150"/>
              <w:bottom w:type="dxa" w:w="100"/>
              <w:right w:type="dxa" w:w="150"/>
            </w:tcMar>
          </w:tcPr>
          <w:p>
            <w:r>
              <w:rPr>
                <w:b/>
                <w:bCs/>
              </w:rPr>
              <w:t xml:space="preserve">Capital Minim</w:t>
            </w:r>
          </w:p>
        </w:tc>
      </w:tr>
      <w:tr>
        <w:tc>
          <w:tcPr>
            <w:tcW w:type="dxa" w:w="40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SRL-uri nou-înființate</w:t>
            </w:r>
          </w:p>
        </w:tc>
        <w:tc>
          <w:tcPr>
            <w:tcW w:type="dxa" w:w="2800"/>
            <w:tcBorders>
              <w:top w:val="single" w:color="CCCCCC" w:sz="1"/>
              <w:left w:val="single" w:color="CCCCCC" w:sz="1"/>
              <w:bottom w:val="single" w:color="CCCCCC" w:sz="1"/>
              <w:right w:val="single" w:color="CCCCCC" w:sz="1"/>
            </w:tcBorders>
            <w:tcMar>
              <w:top w:type="dxa" w:w="80"/>
              <w:left w:type="dxa" w:w="150"/>
              <w:bottom w:type="dxa" w:w="80"/>
              <w:right w:type="dxa" w:w="150"/>
            </w:tcMar>
          </w:tcPr>
          <w:p>
            <w:r>
              <w:t xml:space="preserve">Indiferent de valoare</w:t>
            </w:r>
          </w:p>
        </w:tc>
        <w:tc>
          <w:tcPr>
            <w:tcW w:type="dxa" w:w="22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500 lei</w:t>
            </w:r>
          </w:p>
        </w:tc>
      </w:tr>
      <w:tr>
        <w:tc>
          <w:tcPr>
            <w:tcW w:type="dxa" w:w="4000"/>
            <w:tcBorders>
              <w:top w:val="single" w:color="CCCCCC" w:sz="1"/>
              <w:left w:val="single" w:color="CCCCCC" w:sz="1"/>
              <w:bottom w:val="single" w:color="CCCCCC" w:sz="1"/>
              <w:right w:val="single" w:color="CCCCCC" w:sz="1"/>
            </w:tcBorders>
            <w:shd w:fill="F5F5F5" w:val="clear"/>
            <w:tcMar>
              <w:top w:type="dxa" w:w="80"/>
              <w:left w:type="dxa" w:w="150"/>
              <w:bottom w:type="dxa" w:w="80"/>
              <w:right w:type="dxa" w:w="150"/>
            </w:tcMar>
          </w:tcPr>
          <w:p>
            <w:r>
              <w:t xml:space="preserve">SRL-uri existente (sub prag)</w:t>
            </w:r>
          </w:p>
        </w:tc>
        <w:tc>
          <w:tcPr>
            <w:tcW w:type="dxa" w:w="2800"/>
            <w:tcBorders>
              <w:top w:val="single" w:color="CCCCCC" w:sz="1"/>
              <w:left w:val="single" w:color="CCCCCC" w:sz="1"/>
              <w:bottom w:val="single" w:color="CCCCCC" w:sz="1"/>
              <w:right w:val="single" w:color="CCCCCC" w:sz="1"/>
            </w:tcBorders>
            <w:shd w:fill="F5F5F5" w:val="clear"/>
            <w:tcMar>
              <w:top w:type="dxa" w:w="80"/>
              <w:left w:type="dxa" w:w="150"/>
              <w:bottom w:type="dxa" w:w="80"/>
              <w:right w:type="dxa" w:w="150"/>
            </w:tcMar>
          </w:tcPr>
          <w:p>
            <w:r>
              <w:t xml:space="preserve">≤ 400.000 lei</w:t>
            </w:r>
          </w:p>
        </w:tc>
        <w:tc>
          <w:tcPr>
            <w:tcW w:type="dxa" w:w="2200"/>
            <w:tcBorders>
              <w:top w:val="single" w:color="CCCCCC" w:sz="1"/>
              <w:left w:val="single" w:color="CCCCCC" w:sz="1"/>
              <w:bottom w:val="single" w:color="CCCCCC" w:sz="1"/>
              <w:right w:val="single" w:color="CCCCCC" w:sz="1"/>
            </w:tcBorders>
            <w:shd w:fill="F5F5F5" w:val="clear"/>
            <w:tcMar>
              <w:top w:type="dxa" w:w="80"/>
              <w:left w:type="dxa" w:w="150"/>
              <w:bottom w:type="dxa" w:w="80"/>
              <w:right w:type="dxa" w:w="150"/>
            </w:tcMar>
          </w:tcPr>
          <w:p>
            <w:r>
              <w:t xml:space="preserve">Fără obligație</w:t>
            </w:r>
          </w:p>
        </w:tc>
      </w:tr>
      <w:tr>
        <w:tc>
          <w:tcPr>
            <w:tcW w:type="dxa" w:w="40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SRL-uri existente (peste prag)</w:t>
            </w:r>
          </w:p>
        </w:tc>
        <w:tc>
          <w:tcPr>
            <w:tcW w:type="dxa" w:w="28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&gt; 400.000 lei</w:t>
            </w:r>
          </w:p>
        </w:tc>
        <w:tc>
          <w:tcPr>
            <w:tcW w:type="dxa" w:w="22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5.000 lei</w:t>
            </w:r>
          </w:p>
        </w:tc>
      </w:tr>
    </w:tbl>
    <w:p>
      <w:pPr>
        <w:spacing w:after="150"/>
      </w:pPr>
    </w:p>
    <w:p>
      <w:pPr>
        <w:spacing w:after="200" w:line="276"/>
        <w:jc w:val="both"/>
      </w:pPr>
      <w:r>
        <w:rPr>
          <w:b/>
          <w:bCs/>
        </w:rPr>
        <w:t xml:space="preserve">Atenție: </w:t>
      </w:r>
      <w:r>
        <w:t xml:space="preserve">Conform art. VI alin. (4), odată majorat la 5.000 lei pentru îndeplinirea cerinței legale, capitalul social nu mai poate fi redus ulterior, nici dacă cifra de afaceri netă scade sub pragul de 400.000 lei. Această prevedere urmărește prevenirea practicilor de reducere speculativă a capitalului.</w:t>
      </w:r>
    </w:p>
    <w:p>
      <w:pPr>
        <w:pStyle w:val="Heading1"/>
      </w:pPr>
      <w:r>
        <w:t xml:space="preserve">2. Termene de Conformare</w:t>
      </w:r>
    </w:p>
    <w:p>
      <w:pPr>
        <w:spacing w:after="150" w:line="276"/>
        <w:jc w:val="both"/>
      </w:pPr>
      <w:r>
        <w:t xml:space="preserve">Legea stabilește un calendar clar pentru implementarea noilor cerințe: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tcBorders>
              <w:top w:val="single" w:color="999999" w:sz="1"/>
              <w:left w:val="single" w:color="999999" w:sz="1"/>
              <w:bottom w:val="single" w:color="999999" w:sz="1"/>
              <w:right w:val="single" w:color="999999" w:sz="1"/>
            </w:tcBorders>
            <w:shd w:fill="E5E5E5" w:val="clear"/>
            <w:tcMar>
              <w:top w:type="dxa" w:w="100"/>
              <w:left w:type="dxa" w:w="150"/>
              <w:bottom w:type="dxa" w:w="100"/>
              <w:right w:type="dxa" w:w="150"/>
            </w:tcMar>
          </w:tcPr>
          <w:p>
            <w:r>
              <w:rPr>
                <w:b/>
                <w:bCs/>
              </w:rPr>
              <w:t xml:space="preserve">Dată</w:t>
            </w:r>
          </w:p>
        </w:tc>
        <w:tc>
          <w:tcPr>
            <w:tcW w:type="dxa" w:w="6500"/>
            <w:tcBorders>
              <w:top w:val="single" w:color="999999" w:sz="1"/>
              <w:left w:val="single" w:color="999999" w:sz="1"/>
              <w:bottom w:val="single" w:color="999999" w:sz="1"/>
              <w:right w:val="single" w:color="999999" w:sz="1"/>
            </w:tcBorders>
            <w:shd w:fill="E5E5E5" w:val="clear"/>
            <w:tcMar>
              <w:top w:type="dxa" w:w="100"/>
              <w:left w:type="dxa" w:w="150"/>
              <w:bottom w:type="dxa" w:w="100"/>
              <w:right w:type="dxa" w:w="150"/>
            </w:tcMar>
          </w:tcPr>
          <w:p>
            <w:r>
              <w:rPr>
                <w:b/>
                <w:bCs/>
              </w:rPr>
              <w:t xml:space="preserve">Eveniment / Obligație</w:t>
            </w:r>
          </w:p>
        </w:tc>
      </w:tr>
      <w:tr>
        <w:tc>
          <w:tcPr>
            <w:tcW w:type="dxa" w:w="25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18.12.2025</w:t>
            </w:r>
          </w:p>
        </w:tc>
        <w:tc>
          <w:tcPr>
            <w:tcW w:type="dxa" w:w="6500"/>
            <w:tcBorders>
              <w:top w:val="single" w:color="CCCCCC" w:sz="1"/>
              <w:left w:val="single" w:color="CCCCCC" w:sz="1"/>
              <w:bottom w:val="single" w:color="CCCCCC" w:sz="1"/>
              <w:right w:val="single" w:color="CCCCCC" w:sz="1"/>
            </w:tcBorders>
            <w:tcMar>
              <w:top w:type="dxa" w:w="80"/>
              <w:left w:type="dxa" w:w="150"/>
              <w:bottom w:type="dxa" w:w="80"/>
              <w:right w:type="dxa" w:w="150"/>
            </w:tcMar>
          </w:tcPr>
          <w:p>
            <w:r>
              <w:t xml:space="preserve">Intrarea în vigoare a Legii 239/2025. SRL-urile nou-înființate: capital minim 500 lei.</w:t>
            </w:r>
          </w:p>
        </w:tc>
      </w:tr>
      <w:tr>
        <w:tc>
          <w:tcPr>
            <w:tcW w:type="dxa" w:w="2500"/>
            <w:tcBorders>
              <w:top w:val="single" w:color="CCCCCC" w:sz="1"/>
              <w:left w:val="single" w:color="CCCCCC" w:sz="1"/>
              <w:bottom w:val="single" w:color="CCCCCC" w:sz="1"/>
              <w:right w:val="single" w:color="CCCCCC" w:sz="1"/>
            </w:tcBorders>
            <w:shd w:fill="F5F5F5" w:val="clear"/>
            <w:tcMar>
              <w:top w:type="dxa" w:w="80"/>
              <w:left w:type="dxa" w:w="150"/>
              <w:bottom w:type="dxa" w:w="80"/>
              <w:right w:type="dxa" w:w="150"/>
            </w:tcMar>
          </w:tcPr>
          <w:p>
            <w:r>
              <w:rPr>
                <w:b/>
                <w:bCs/>
              </w:rPr>
              <w:t xml:space="preserve">31.12.2026</w:t>
            </w:r>
          </w:p>
        </w:tc>
        <w:tc>
          <w:tcPr>
            <w:tcW w:type="dxa" w:w="6500"/>
            <w:tcBorders>
              <w:top w:val="single" w:color="CCCCCC" w:sz="1"/>
              <w:left w:val="single" w:color="CCCCCC" w:sz="1"/>
              <w:bottom w:val="single" w:color="CCCCCC" w:sz="1"/>
              <w:right w:val="single" w:color="CCCCCC" w:sz="1"/>
            </w:tcBorders>
            <w:shd w:fill="F5F5F5" w:val="clear"/>
            <w:tcMar>
              <w:top w:type="dxa" w:w="80"/>
              <w:left w:type="dxa" w:w="150"/>
              <w:bottom w:type="dxa" w:w="80"/>
              <w:right w:type="dxa" w:w="150"/>
            </w:tcMar>
          </w:tcPr>
          <w:p>
            <w:r>
              <w:t xml:space="preserve">Termen limită pentru reducerea de 50% la tariful Monitorul Oficial.</w:t>
            </w:r>
          </w:p>
        </w:tc>
      </w:tr>
      <w:tr>
        <w:tc>
          <w:tcPr>
            <w:tcW w:type="dxa" w:w="25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18.12.2027</w:t>
            </w:r>
          </w:p>
        </w:tc>
        <w:tc>
          <w:tcPr>
            <w:tcW w:type="dxa" w:w="6500"/>
            <w:tcBorders>
              <w:top w:val="single" w:color="CCCCCC" w:sz="1"/>
              <w:left w:val="single" w:color="CCCCCC" w:sz="1"/>
              <w:bottom w:val="single" w:color="CCCCCC" w:sz="1"/>
              <w:right w:val="single" w:color="CCCCCC" w:sz="1"/>
            </w:tcBorders>
            <w:tcMar>
              <w:top w:type="dxa" w:w="80"/>
              <w:left w:type="dxa" w:w="150"/>
              <w:bottom w:type="dxa" w:w="80"/>
              <w:right w:type="dxa" w:w="150"/>
            </w:tcMar>
          </w:tcPr>
          <w:p>
            <w:r>
              <w:rPr>
                <w:b/>
                <w:bCs/>
              </w:rPr>
              <w:t xml:space="preserve">Termen final de conformare. După această dată: risc de dizolvare judiciară.</w:t>
            </w:r>
          </w:p>
        </w:tc>
      </w:tr>
    </w:tbl>
    <w:p>
      <w:pPr>
        <w:spacing w:after="200"/>
      </w:pPr>
    </w:p>
    <w:p>
      <w:pPr>
        <w:pStyle w:val="Heading1"/>
      </w:pPr>
      <w:r>
        <w:t xml:space="preserve">3. Stimulent Fiscal: Reducere 50% la Monitorul Oficial</w:t>
      </w:r>
    </w:p>
    <w:p>
      <w:pPr>
        <w:spacing w:after="150" w:line="276"/>
        <w:jc w:val="both"/>
      </w:pPr>
      <w:r>
        <w:t xml:space="preserve">Conform art. VI alin. (7), societățile care își majorează capitalul social </w:t>
      </w:r>
      <w:r>
        <w:rPr>
          <w:b/>
          <w:bCs/>
        </w:rPr>
        <w:t xml:space="preserve">până la 31 decembrie 2026</w:t>
      </w:r>
      <w:r>
        <w:t xml:space="preserve"> beneficiază de o reducere de 50% la tariful de publicare în Monitorul Oficial, Partea a IV-a.</w:t>
      </w:r>
    </w:p>
    <w:p>
      <w:pPr>
        <w:spacing w:after="200" w:line="276"/>
        <w:jc w:val="both"/>
      </w:pPr>
      <w:r>
        <w:rPr>
          <w:b/>
          <w:bCs/>
        </w:rPr>
        <w:t xml:space="preserve">Condiție importantă: </w:t>
      </w:r>
      <w:r>
        <w:t xml:space="preserve">Reducerea se aplică numai în cazul în care modificarea actului constitutiv vizează </w:t>
      </w:r>
      <w:r>
        <w:rPr>
          <w:i/>
          <w:iCs/>
        </w:rPr>
        <w:t xml:space="preserve">exclusiv </w:t>
      </w:r>
      <w:r>
        <w:t xml:space="preserve">majorarea capitalului social pentru implementarea noilor prevederi legale. Dacă se modifică și alte elemente (sediu, administratori, obiect de activitate), reducerea nu se aplică.</w:t>
      </w:r>
    </w:p>
    <w:p>
      <w:pPr>
        <w:pStyle w:val="Heading1"/>
      </w:pPr>
      <w:r>
        <w:t xml:space="preserve">4. Metode de Majorare a Capitalului Social</w:t>
      </w:r>
    </w:p>
    <w:p>
      <w:pPr>
        <w:spacing w:after="150" w:line="276"/>
        <w:jc w:val="both"/>
      </w:pPr>
      <w:r>
        <w:t xml:space="preserve">Legea societăților nr. 31/1990 prevede mai multe modalități de majorare a capitalului social:</w:t>
      </w:r>
    </w:p>
    <w:p>
      <w:pPr>
        <w:pStyle w:val="ListParagraph"/>
        <w:numPr>
          <w:ilvl w:val="0"/>
          <w:numId w:val="2"/>
        </w:numPr>
        <w:spacing w:after="80"/>
      </w:pPr>
      <w:r>
        <w:rPr>
          <w:b/>
          <w:bCs/>
        </w:rPr>
        <w:t xml:space="preserve">Aport în numerar</w:t>
      </w:r>
      <w:r>
        <w:t xml:space="preserve"> – depunerea sumei în contul bancar al societății și prezentarea extrasului de cont la ONRC</w:t>
      </w:r>
    </w:p>
    <w:p>
      <w:pPr>
        <w:pStyle w:val="ListParagraph"/>
        <w:numPr>
          <w:ilvl w:val="0"/>
          <w:numId w:val="2"/>
        </w:numPr>
        <w:spacing w:after="80"/>
      </w:pPr>
      <w:r>
        <w:rPr>
          <w:b/>
          <w:bCs/>
        </w:rPr>
        <w:t xml:space="preserve">Aport în natură</w:t>
      </w:r>
      <w:r>
        <w:t xml:space="preserve"> – bunuri evaluate de un expert autorizat (necesită raport de evaluare)</w:t>
      </w:r>
    </w:p>
    <w:p>
      <w:pPr>
        <w:pStyle w:val="ListParagraph"/>
        <w:numPr>
          <w:ilvl w:val="0"/>
          <w:numId w:val="2"/>
        </w:numPr>
        <w:spacing w:after="80"/>
      </w:pPr>
      <w:r>
        <w:rPr>
          <w:b/>
          <w:bCs/>
        </w:rPr>
        <w:t xml:space="preserve">Încorporarea rezervelor</w:t>
      </w:r>
      <w:r>
        <w:t xml:space="preserve"> – transformarea rezervelor legale sau statutare în capital social</w:t>
      </w:r>
    </w:p>
    <w:p>
      <w:pPr>
        <w:pStyle w:val="ListParagraph"/>
        <w:numPr>
          <w:ilvl w:val="0"/>
          <w:numId w:val="2"/>
        </w:numPr>
        <w:spacing w:after="80"/>
      </w:pPr>
      <w:r>
        <w:rPr>
          <w:b/>
          <w:bCs/>
        </w:rPr>
        <w:t xml:space="preserve">Compensarea creanțelor</w:t>
      </w:r>
      <w:r>
        <w:t xml:space="preserve"> – conversia creanțelor certe, lichide și exigibile ale asociaților</w:t>
      </w:r>
    </w:p>
    <w:p>
      <w:pPr>
        <w:pStyle w:val="ListParagraph"/>
        <w:numPr>
          <w:ilvl w:val="0"/>
          <w:numId w:val="2"/>
        </w:numPr>
        <w:spacing w:after="200"/>
      </w:pPr>
      <w:r>
        <w:rPr>
          <w:b/>
          <w:bCs/>
        </w:rPr>
        <w:t xml:space="preserve">Încorporarea profitului</w:t>
      </w:r>
      <w:r>
        <w:t xml:space="preserve"> – utilizarea profitului nerepartizat din anii anteriori</w:t>
      </w:r>
    </w:p>
    <w:p>
      <w:pPr>
        <w:spacing w:after="200" w:line="276"/>
        <w:jc w:val="both"/>
      </w:pPr>
      <w:r>
        <w:rPr>
          <w:b/>
          <w:bCs/>
        </w:rPr>
        <w:t xml:space="preserve">Recomandare practică: </w:t>
      </w:r>
      <w:r>
        <w:t xml:space="preserve">Pentru suma de 5.000 lei, aportul în numerar este cea mai simplă și rapidă metodă, evitând costurile suplimentare ale expertizelor.</w:t>
      </w:r>
    </w:p>
    <w:p>
      <w:pPr>
        <w:pStyle w:val="Heading1"/>
      </w:pPr>
      <w:r>
        <w:t xml:space="preserve">5. Documente Necesare pentru ONRC</w:t>
      </w:r>
    </w:p>
    <w:p>
      <w:pPr>
        <w:spacing w:after="150" w:line="276"/>
        <w:jc w:val="both"/>
      </w:pPr>
      <w:r>
        <w:t xml:space="preserve">Pentru înregistrarea majorării capitalului social la Oficiul Național al Registrului Comerțului sunt necesare:</w:t>
      </w:r>
    </w:p>
    <w:p>
      <w:pPr>
        <w:pStyle w:val="ListParagraph"/>
        <w:numPr>
          <w:ilvl w:val="0"/>
          <w:numId w:val="3"/>
        </w:numPr>
        <w:spacing w:after="60"/>
      </w:pPr>
      <w:r>
        <w:t xml:space="preserve">Cererea de înregistrare mențiuni – formular tip</w:t>
      </w:r>
    </w:p>
    <w:p>
      <w:pPr>
        <w:pStyle w:val="ListParagraph"/>
        <w:numPr>
          <w:ilvl w:val="0"/>
          <w:numId w:val="3"/>
        </w:numPr>
        <w:spacing w:after="60"/>
      </w:pPr>
      <w:r>
        <w:t xml:space="preserve">Hotărârea AGA / Decizia asociatului unic privind majorarea capitalului</w:t>
      </w:r>
    </w:p>
    <w:p>
      <w:pPr>
        <w:pStyle w:val="ListParagraph"/>
        <w:numPr>
          <w:ilvl w:val="0"/>
          <w:numId w:val="3"/>
        </w:numPr>
        <w:spacing w:after="60"/>
      </w:pPr>
      <w:r>
        <w:t xml:space="preserve">Actul constitutiv actualizat (forma consolidată)</w:t>
      </w:r>
    </w:p>
    <w:p>
      <w:pPr>
        <w:pStyle w:val="ListParagraph"/>
        <w:numPr>
          <w:ilvl w:val="0"/>
          <w:numId w:val="3"/>
        </w:numPr>
        <w:spacing w:after="60"/>
      </w:pPr>
      <w:r>
        <w:t xml:space="preserve">Dovada depunerii capitalului social (extras de cont bancar)</w:t>
      </w:r>
    </w:p>
    <w:p>
      <w:pPr>
        <w:pStyle w:val="ListParagraph"/>
        <w:numPr>
          <w:ilvl w:val="0"/>
          <w:numId w:val="3"/>
        </w:numPr>
        <w:spacing w:after="60"/>
      </w:pPr>
      <w:r>
        <w:t xml:space="preserve">Certificat constatator eliberat de ONRC</w:t>
      </w:r>
    </w:p>
    <w:p>
      <w:pPr>
        <w:pStyle w:val="ListParagraph"/>
        <w:numPr>
          <w:ilvl w:val="0"/>
          <w:numId w:val="3"/>
        </w:numPr>
        <w:spacing w:after="60"/>
      </w:pPr>
      <w:r>
        <w:t xml:space="preserve">Dovada publicării în Monitorul Oficial, Partea a IV-a</w:t>
      </w:r>
    </w:p>
    <w:p>
      <w:pPr>
        <w:pStyle w:val="ListParagraph"/>
        <w:numPr>
          <w:ilvl w:val="0"/>
          <w:numId w:val="3"/>
        </w:numPr>
        <w:spacing w:after="60"/>
      </w:pPr>
      <w:r>
        <w:t xml:space="preserve">Declarația pe proprie răspundere a administratorului</w:t>
      </w:r>
    </w:p>
    <w:p>
      <w:pPr>
        <w:pStyle w:val="ListParagraph"/>
        <w:numPr>
          <w:ilvl w:val="0"/>
          <w:numId w:val="3"/>
        </w:numPr>
        <w:spacing w:after="200"/>
      </w:pPr>
      <w:r>
        <w:t xml:space="preserve">Dovada achitării taxelor (taxa registru comerț + tarif MO)</w:t>
      </w:r>
    </w:p>
    <w:p>
      <w:pPr>
        <w:pStyle w:val="Heading1"/>
      </w:pPr>
      <w:r>
        <w:t xml:space="preserve">6. Sancțiuni pentru Neconformare</w:t>
      </w:r>
    </w:p>
    <w:p>
      <w:pPr>
        <w:spacing w:after="150" w:line="276"/>
        <w:jc w:val="both"/>
      </w:pPr>
      <w:r>
        <w:t xml:space="preserve">Conform art. VI alin. (8), în cazul în care societatea cu răspundere limitată nu își completează capitalul social în termenul de 2 ani (până la 18 decembrie 2027), </w:t>
      </w:r>
      <w:r>
        <w:rPr>
          <w:b/>
          <w:bCs/>
        </w:rPr>
        <w:t xml:space="preserve">tribunalul va pronunța dizolvarea societății</w:t>
      </w:r>
      <w:r>
        <w:t xml:space="preserve"> la cererea oricărei persoane interesate sau a Oficiului Național al Registrului Comerțului.</w:t>
      </w:r>
    </w:p>
    <w:p>
      <w:pPr>
        <w:spacing w:after="200" w:line="276"/>
        <w:jc w:val="both"/>
      </w:pPr>
      <w:r>
        <w:rPr>
          <w:b/>
          <w:bCs/>
        </w:rPr>
        <w:t xml:space="preserve">Posibilitate de remediere: </w:t>
      </w:r>
      <w:r>
        <w:t xml:space="preserve">Conform art. VI alin. (9), societatea nu va fi dizolvată dacă, până la rămânerea definitivă a hotărârii judecătorești de dizolvare, capitalul social este majorat conform cerințelor legale. Aceasta oferă o ultimă șansă de conformare, dar implică costuri procedurale suplimentare.</w:t>
      </w:r>
    </w:p>
    <w:p>
      <w:pPr>
        <w:pStyle w:val="Heading1"/>
      </w:pPr>
      <w:r>
        <w:t xml:space="preserve">7. Întrebări Frecvente</w:t>
      </w:r>
    </w:p>
    <w:p>
      <w:pPr>
        <w:pStyle w:val="Heading2"/>
      </w:pPr>
      <w:r>
        <w:t xml:space="preserve">Firma mea are capital 200 lei și CA sub 400.000 lei. Trebuie să majorez?</w:t>
      </w:r>
    </w:p>
    <w:p>
      <w:pPr>
        <w:spacing w:after="150" w:line="276"/>
        <w:jc w:val="both"/>
      </w:pPr>
      <w:r>
        <w:rPr>
          <w:b/>
          <w:bCs/>
        </w:rPr>
        <w:t xml:space="preserve">Nu.</w:t>
      </w:r>
      <w:r>
        <w:t xml:space="preserve"> Societățile existente cu cifră de afaceri netă sub 400.000 lei nu au obligația legală de majorare a capitalului social. Obligația devine aplicabilă doar dacă, într-un exercițiu financiar, cifra de afaceri depășește pragul de 400.000 lei.</w:t>
      </w:r>
    </w:p>
    <w:p>
      <w:pPr>
        <w:pStyle w:val="Heading2"/>
      </w:pPr>
      <w:r>
        <w:t xml:space="preserve">Ce se întâmplă dacă depășesc pragul de 400.000 lei într-un an, dar scad sub el în anul următor?</w:t>
      </w:r>
    </w:p>
    <w:p>
      <w:pPr>
        <w:spacing w:after="150" w:line="276"/>
        <w:jc w:val="both"/>
      </w:pPr>
      <w:r>
        <w:t xml:space="preserve">Odată majorat capitalul social la 5.000 lei, acesta rămâne la această valoare. Conform art. VI alin. (4), majorarea este </w:t>
      </w:r>
      <w:r>
        <w:rPr>
          <w:b/>
          <w:bCs/>
        </w:rPr>
        <w:t xml:space="preserve">ireversibilă</w:t>
      </w:r>
      <w:r>
        <w:t xml:space="preserve">, indiferent de evoluția ulterioară a cifrei de afaceri.</w:t>
      </w:r>
    </w:p>
    <w:p>
      <w:pPr>
        <w:pStyle w:val="Heading2"/>
      </w:pPr>
      <w:r>
        <w:t xml:space="preserve">Cât durează procedura de majorare la ONRC?</w:t>
      </w:r>
    </w:p>
    <w:p>
      <w:pPr>
        <w:spacing w:after="150" w:line="276"/>
        <w:jc w:val="both"/>
      </w:pPr>
      <w:r>
        <w:t xml:space="preserve">În medie, procedura durează între 5 și 14 zile lucrătoare, în funcție de corectitudinea documentației depuse și de volumul de lucru al ONRC. Cu asistență juridică specializată, termenul poate fi redus la minimum.</w:t>
      </w:r>
    </w:p>
    <w:p>
      <w:pPr>
        <w:pStyle w:val="Heading2"/>
      </w:pPr>
      <w:r>
        <w:t xml:space="preserve">Pot majora capitalul social peste minimul legal?</w:t>
      </w:r>
    </w:p>
    <w:p>
      <w:pPr>
        <w:spacing w:after="200" w:line="276"/>
        <w:jc w:val="both"/>
      </w:pPr>
      <w:r>
        <w:t xml:space="preserve">Da. Legea stabilește praguri </w:t>
      </w:r>
      <w:r>
        <w:rPr>
          <w:i/>
          <w:iCs/>
        </w:rPr>
        <w:t xml:space="preserve">minime</w:t>
      </w:r>
      <w:r>
        <w:t xml:space="preserve">, nu maxime. Multe societăți aleg să majoreze capitalul la sume mai mari pentru a-și consolida credibilitatea comercială și capacitatea de a accesa finanțări.</w:t>
      </w:r>
    </w:p>
    <w:p>
      <w:pPr>
        <w:pStyle w:val="Heading1"/>
      </w:pPr>
      <w:r>
        <w:t xml:space="preserve">8. Consultanță Juridică Specializată</w:t>
      </w:r>
    </w:p>
    <w:p>
      <w:pPr>
        <w:spacing w:after="150" w:line="276"/>
        <w:jc w:val="both"/>
      </w:pPr>
      <w:r>
        <w:t xml:space="preserve">Cabinet de Avocatură Pantilimon Rikhárd-Árpád oferă servicii complete de asistență juridică pentru procedura de majorare a capitalului social:</w:t>
      </w:r>
    </w:p>
    <w:p>
      <w:pPr>
        <w:pStyle w:val="ListParagraph"/>
        <w:numPr>
          <w:ilvl w:val="0"/>
          <w:numId w:val="3"/>
        </w:numPr>
        <w:spacing w:after="60"/>
      </w:pPr>
      <w:r>
        <w:t xml:space="preserve">Analiză personalizată a obligațiilor legale aplicabile societății dumneavoastră</w:t>
      </w:r>
    </w:p>
    <w:p>
      <w:pPr>
        <w:pStyle w:val="ListParagraph"/>
        <w:numPr>
          <w:ilvl w:val="0"/>
          <w:numId w:val="3"/>
        </w:numPr>
        <w:spacing w:after="60"/>
      </w:pPr>
      <w:r>
        <w:t xml:space="preserve">Redactarea Hotărârii AGA / Deciziei asociatului unic</w:t>
      </w:r>
    </w:p>
    <w:p>
      <w:pPr>
        <w:pStyle w:val="ListParagraph"/>
        <w:numPr>
          <w:ilvl w:val="0"/>
          <w:numId w:val="3"/>
        </w:numPr>
        <w:spacing w:after="60"/>
      </w:pPr>
      <w:r>
        <w:t xml:space="preserve">Actualizarea actului constitutiv conform noilor cerințe legale</w:t>
      </w:r>
    </w:p>
    <w:p>
      <w:pPr>
        <w:pStyle w:val="ListParagraph"/>
        <w:numPr>
          <w:ilvl w:val="0"/>
          <w:numId w:val="3"/>
        </w:numPr>
        <w:spacing w:after="60"/>
      </w:pPr>
      <w:r>
        <w:t xml:space="preserve">Reprezentare la ONRC și gestionarea întregii proceduri</w:t>
      </w:r>
    </w:p>
    <w:p>
      <w:pPr>
        <w:pStyle w:val="ListParagraph"/>
        <w:numPr>
          <w:ilvl w:val="0"/>
          <w:numId w:val="3"/>
        </w:numPr>
        <w:spacing w:after="200"/>
      </w:pPr>
      <w:r>
        <w:t xml:space="preserve">Consultanță privind optimizarea metodei de majorare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1B365D" w:sz="2"/>
              <w:left w:val="single" w:color="1B365D" w:sz="2"/>
              <w:bottom w:val="single" w:color="1B365D" w:sz="2"/>
              <w:right w:val="single" w:color="1B365D" w:sz="2"/>
            </w:tcBorders>
            <w:shd w:fill="F5F5F5" w:val="clear"/>
            <w:tcMar>
              <w:top w:type="dxa" w:w="200"/>
              <w:left w:type="dxa" w:w="250"/>
              <w:bottom w:type="dxa" w:w="200"/>
              <w:right w:type="dxa" w:w="250"/>
            </w:tcMar>
          </w:tcPr>
          <w:p>
            <w:pPr>
              <w:spacing w:after="150"/>
              <w:jc w:val="center"/>
            </w:pPr>
            <w:r>
              <w:drawing>
                <wp:inline distT="0" distB="0" distL="0" distR="0">
                  <wp:extent cx="952500" cy="952500"/>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52500" cy="952500"/>
                          </a:xfrm>
                          <a:prstGeom prst="rect">
                            <a:avLst/>
                          </a:prstGeom>
                        </pic:spPr>
                      </pic:pic>
                    </a:graphicData>
                  </a:graphic>
                </wp:inline>
              </w:drawing>
            </w:r>
          </w:p>
          <w:p>
            <w:pPr>
              <w:spacing w:after="80"/>
              <w:jc w:val="center"/>
            </w:pPr>
            <w:r>
              <w:rPr>
                <w:b/>
                <w:bCs/>
                <w:sz w:val="26"/>
                <w:szCs w:val="26"/>
              </w:rPr>
              <w:t xml:space="preserve">Tel: 0740.011.411</w:t>
            </w:r>
          </w:p>
          <w:p>
            <w:pPr>
              <w:spacing w:after="80"/>
              <w:jc w:val="center"/>
            </w:pPr>
            <w:r>
              <w:rPr>
                <w:sz w:val="22"/>
                <w:szCs w:val="22"/>
              </w:rPr>
              <w:t xml:space="preserve">Email: office@pantilimon.ro  •  Web: www.pantilimon.ro</w:t>
            </w:r>
          </w:p>
          <w:p>
            <w:pPr>
              <w:jc w:val="center"/>
            </w:pPr>
            <w:r>
              <w:rPr>
                <w:color w:val="666666"/>
                <w:sz w:val="20"/>
                <w:szCs w:val="20"/>
              </w:rPr>
              <w:t xml:space="preserve">Str. Rodnei nr. 3, Ap. 1, Târgu Mureș, Mureș</w:t>
            </w:r>
          </w:p>
          <w:p>
            <w:pPr>
              <w:spacing w:before="80"/>
              <w:jc w:val="center"/>
            </w:pPr>
            <w:r>
              <w:rPr>
                <w:i/>
                <w:iCs/>
                <w:color w:val="666666"/>
                <w:sz w:val="18"/>
                <w:szCs w:val="18"/>
              </w:rPr>
              <w:t xml:space="preserve">Servicii în limba română, maghiară și engleză</w:t>
            </w:r>
          </w:p>
        </w:tc>
      </w:tr>
    </w:tbl>
    <w:p>
      <w:pPr>
        <w:spacing w:after="250"/>
      </w:pPr>
    </w:p>
    <w:p>
      <w:pPr>
        <w:spacing w:after="100"/>
        <w:jc w:val="both"/>
      </w:pPr>
      <w:r>
        <w:rPr>
          <w:b/>
          <w:bCs/>
          <w:sz w:val="20"/>
          <w:szCs w:val="20"/>
        </w:rPr>
        <w:t xml:space="preserve">Temei legal: </w:t>
      </w:r>
      <w:r>
        <w:rPr>
          <w:sz w:val="20"/>
          <w:szCs w:val="20"/>
        </w:rPr>
        <w:t xml:space="preserve">Legea nr. 239/2025 pentru stabilirea unor măsuri de redresare și eficientizare a resurselor publice și pentru modificarea și completarea unor acte normative (M.Of. nr. 1160 din 15 decembrie 2025), art. VI.</w:t>
      </w:r>
    </w:p>
    <w:p>
      <w:pPr>
        <w:spacing w:after="100"/>
        <w:jc w:val="both"/>
      </w:pPr>
      <w:r>
        <w:rPr>
          <w:b/>
          <w:bCs/>
          <w:color w:val="666666"/>
          <w:sz w:val="18"/>
          <w:szCs w:val="18"/>
        </w:rPr>
        <w:t xml:space="preserve">Notă: </w:t>
      </w:r>
      <w:r>
        <w:rPr>
          <w:color w:val="666666"/>
          <w:sz w:val="18"/>
          <w:szCs w:val="18"/>
        </w:rPr>
        <w:t xml:space="preserve">Prezentul material are caracter informativ și nu constituie consultanță juridică. Pentru analiza situației concrete a societății dumneavoastră, vă recomandăm consultarea unui avocat specializat.</w:t>
      </w:r>
    </w:p>
    <w:sectPr>
      <w:headerReference w:type="default" r:id="rId6"/>
      <w:footerReference w:type="default" r:id="rId7"/>
      <w:pgSz w:w="11906" w:h="16838" w:orient="portrait"/>
      <w:pgMar w:top="180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20"/>
        <w:szCs w:val="20"/>
      </w:rPr>
      <w:t xml:space="preserve">Pagina </w:t>
    </w:r>
    <w:r>
      <w:rPr>
        <w:color w:val="666666"/>
        <w:sz w:val="20"/>
        <w:szCs w:val="20"/>
      </w:rPr>
      <w:fldChar w:fldCharType="begin"/>
      <w:instrText xml:space="preserve">PAGE</w:instrText>
      <w:fldChar w:fldCharType="separate"/>
      <w:fldChar w:fldCharType="end"/>
    </w:r>
    <w:r>
      <w:rPr>
        <w:color w:val="666666"/>
        <w:sz w:val="20"/>
        <w:szCs w:val="20"/>
      </w:rPr>
      <w:t xml:space="preserve"> din </w:t>
    </w:r>
    <w:r>
      <w:rPr>
        <w:color w:val="666666"/>
        <w:sz w:val="20"/>
        <w:szCs w:val="20"/>
      </w:rPr>
      <w:fldChar w:fldCharType="begin"/>
      <w:instrText xml:space="preserve">NUMPAGES</w:instrText>
      <w:fldChar w:fldCharType="separate"/>
      <w:fldChar w:fldCharType="end"/>
    </w:r>
    <w:r>
      <w:rPr>
        <w:color w:val="999999"/>
        <w:sz w:val="18"/>
        <w:szCs w:val="18"/>
      </w:rPr>
      <w:t xml:space="preserve">  |  © 2026 Cabinet de Avocatură Pantilimon Rikhárd-Árpád  |  Baroul Mureș</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left w:val="none"/>
        <w:bottom w:val="none"/>
        <w:right w:val="none"/>
        <w:insideH w:val="none"/>
        <w:insideV w:val="none"/>
      </w:tblBorders>
    </w:tblPr>
    <w:tblGrid>
      <w:gridCol w:w="2000"/>
      <w:gridCol w:w="7000"/>
    </w:tblGrid>
    <w:tr>
      <w:tc>
        <w:tcPr>
          <w:tcW w:type="dxa" w:w="2000"/>
          <w:tcBorders>
            <w:top w:val="none"/>
            <w:left w:val="none"/>
            <w:bottom w:val="none"/>
            <w:right w:val="none"/>
          </w:tcBorders>
        </w:tcPr>
        <w:p>
          <w:r>
            <w:drawing>
              <wp:inline distT="0" distB="0" distL="0" distR="0">
                <wp:extent cx="666750" cy="666750"/>
                <wp:effectExtent t="0" r="0" b="0" l="0"/>
                <wp:docPr id="1" name="Logo" descr="Compass logo" title="Pantilimon La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666750"/>
                        </a:xfrm>
                        <a:prstGeom prst="rect">
                          <a:avLst/>
                        </a:prstGeom>
                      </pic:spPr>
                    </pic:pic>
                  </a:graphicData>
                </a:graphic>
              </wp:inline>
            </w:drawing>
          </w:r>
        </w:p>
      </w:tc>
      <w:tc>
        <w:tcPr>
          <w:tcW w:type="dxa" w:w="7000"/>
          <w:tcBorders>
            <w:top w:val="none"/>
            <w:left w:val="none"/>
            <w:bottom w:val="none"/>
            <w:right w:val="none"/>
          </w:tcBorders>
        </w:tcPr>
        <w:p>
          <w:pPr>
            <w:spacing w:after="40"/>
          </w:pPr>
          <w:r>
            <w:rPr>
              <w:color w:val="666666"/>
              <w:sz w:val="18"/>
              <w:szCs w:val="18"/>
            </w:rPr>
            <w:t xml:space="preserve">Str. Rodnei nr. 3, Ap. 1, Târgu Mureș, Mureș</w:t>
          </w:r>
        </w:p>
        <w:p>
          <w:pPr>
            <w:spacing w:after="40"/>
          </w:pPr>
          <w:r>
            <w:rPr>
              <w:color w:val="666666"/>
              <w:sz w:val="18"/>
              <w:szCs w:val="18"/>
            </w:rPr>
            <w:t xml:space="preserve">Tel: 0740.011.411  |  office@pantilimon.ro  |  www.pantilimon.ro</w:t>
          </w:r>
        </w:p>
      </w:tc>
    </w:tr>
  </w:tbl>
  <w:p>
    <w:pPr>
      <w:pBdr>
        <w:bottom w:val="single" w:color="1B365D" w:sz="12"/>
      </w:pBdr>
      <w:spacing w:before="100"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00" w:after="15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before="240" w:after="12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cf5e81119273922c2daaecd25b532bf7eeeae654.jp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5e81119273922c2daaecd25b532bf7eeeae654.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2026-01-06T11:50:34.625Z</dcterms:created>
  <dcterms:modified xsi:type="dcterms:W3CDTF">2026-01-06T11:50:34.627Z</dcterms:modified>
</cp:coreProperties>
</file>

<file path=docProps/custom.xml><?xml version="1.0" encoding="utf-8"?>
<Properties xmlns="http://schemas.openxmlformats.org/officeDocument/2006/custom-properties" xmlns:vt="http://schemas.openxmlformats.org/officeDocument/2006/docPropsVTypes"/>
</file>